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59E4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textAlignment w:val="auto"/>
        <w:rPr>
          <w:rFonts w:ascii="Times New Roman" w:hAnsi="Times New Roman"/>
          <w:b/>
          <w:color w:val="0000FF"/>
          <w:sz w:val="21"/>
        </w:rPr>
      </w:pPr>
      <w:r>
        <w:rPr>
          <w:rFonts w:hint="eastAsia" w:ascii="Times New Roman" w:hAnsi="Times New Roman"/>
          <w:b/>
          <w:color w:val="0000FF"/>
          <w:sz w:val="21"/>
        </w:rPr>
        <w:t>理论课教学大纲参考格式说明：</w:t>
      </w:r>
    </w:p>
    <w:p w14:paraId="7839D6F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【注：课程教学大纲要明确课程教学目标、教学内容、教学要求、教学设计、教学考核的基本标准和规范，要给授课教师留足基于学情、个人和团队擅长、改革实践等发挥空间。】</w:t>
      </w:r>
    </w:p>
    <w:p w14:paraId="6DB752C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【注：对于技术或技能训练占比大的课程，可以参照理论教学大纲，设计理论教学与实践教学一体化的特色课程大纲。】</w:t>
      </w:r>
    </w:p>
    <w:p w14:paraId="3F01CCE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【注：</w:t>
      </w:r>
      <w:r>
        <w:rPr>
          <w:rFonts w:hint="eastAsia" w:ascii="Times New Roman" w:hAnsi="Times New Roman"/>
          <w:color w:val="0000FF"/>
          <w:sz w:val="21"/>
          <w:szCs w:val="21"/>
        </w:rPr>
        <w:t>大</w:t>
      </w:r>
      <w:r>
        <w:rPr>
          <w:rFonts w:ascii="Times New Roman" w:hAnsi="Times New Roman"/>
          <w:color w:val="0000FF"/>
          <w:sz w:val="21"/>
          <w:szCs w:val="21"/>
        </w:rPr>
        <w:t>标题为黑体</w:t>
      </w:r>
      <w:r>
        <w:rPr>
          <w:rFonts w:hint="eastAsia" w:ascii="Times New Roman" w:hAnsi="Times New Roman"/>
          <w:color w:val="0000FF"/>
          <w:sz w:val="21"/>
          <w:szCs w:val="21"/>
        </w:rPr>
        <w:t>小</w:t>
      </w:r>
      <w:r>
        <w:rPr>
          <w:rFonts w:ascii="Times New Roman" w:hAnsi="Times New Roman"/>
          <w:color w:val="0000FF"/>
          <w:sz w:val="21"/>
          <w:szCs w:val="21"/>
        </w:rPr>
        <w:t>四号，小标题为黑体五</w:t>
      </w:r>
      <w:r>
        <w:rPr>
          <w:rFonts w:hint="eastAsia" w:ascii="Times New Roman" w:hAnsi="Times New Roman"/>
          <w:color w:val="0000FF"/>
          <w:sz w:val="21"/>
          <w:szCs w:val="21"/>
        </w:rPr>
        <w:t>号</w:t>
      </w:r>
      <w:r>
        <w:rPr>
          <w:rFonts w:ascii="Times New Roman" w:hAnsi="Times New Roman"/>
          <w:color w:val="0000FF"/>
          <w:sz w:val="21"/>
          <w:szCs w:val="21"/>
        </w:rPr>
        <w:t>，</w:t>
      </w:r>
      <w:r>
        <w:rPr>
          <w:rFonts w:hint="eastAsia" w:ascii="Times New Roman" w:hAnsi="Times New Roman"/>
          <w:color w:val="0000FF"/>
          <w:sz w:val="21"/>
        </w:rPr>
        <w:t>正文为</w:t>
      </w:r>
      <w:r>
        <w:rPr>
          <w:rFonts w:ascii="Times New Roman" w:hAnsi="Times New Roman"/>
          <w:color w:val="0000FF"/>
          <w:sz w:val="21"/>
        </w:rPr>
        <w:t>宋</w:t>
      </w:r>
      <w:r>
        <w:rPr>
          <w:rFonts w:hint="eastAsia" w:ascii="Times New Roman" w:hAnsi="Times New Roman"/>
          <w:color w:val="0000FF"/>
          <w:sz w:val="21"/>
        </w:rPr>
        <w:t>体五</w:t>
      </w:r>
      <w:r>
        <w:rPr>
          <w:rFonts w:ascii="Times New Roman" w:hAnsi="Times New Roman"/>
          <w:color w:val="0000FF"/>
          <w:sz w:val="21"/>
        </w:rPr>
        <w:t>号字，</w:t>
      </w:r>
      <w:r>
        <w:rPr>
          <w:rFonts w:hint="eastAsia" w:ascii="Times New Roman" w:hAnsi="Times New Roman"/>
          <w:color w:val="0000FF"/>
          <w:sz w:val="21"/>
        </w:rPr>
        <w:t>行间距18磅】</w:t>
      </w:r>
    </w:p>
    <w:p w14:paraId="23EB7C1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5631180</wp:posOffset>
                </wp:positionH>
                <wp:positionV relativeFrom="paragraph">
                  <wp:posOffset>38100</wp:posOffset>
                </wp:positionV>
                <wp:extent cx="1677670" cy="784860"/>
                <wp:effectExtent l="762000" t="0" r="17780" b="15240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784860"/>
                        </a:xfrm>
                        <a:prstGeom prst="wedgeRoundRectCallout">
                          <a:avLst>
                            <a:gd name="adj1" fmla="val -92315"/>
                            <a:gd name="adj2" fmla="val -60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14D5559">
                            <w:pPr>
                              <w:snapToGrid w:val="0"/>
                              <w:rPr>
                                <w:rFonts w:ascii="宋体" w:hAnsi="宋体" w:eastAsia="宋体"/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color w:val="0000FF"/>
                                <w:szCs w:val="21"/>
                              </w:rPr>
                              <w:t>居中、中文黑体、英文Times New Roman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FF"/>
                                <w:szCs w:val="21"/>
                              </w:rPr>
                              <w:t>加粗</w:t>
                            </w:r>
                            <w:r>
                              <w:rPr>
                                <w:rFonts w:ascii="宋体" w:hAnsi="宋体" w:eastAsia="宋体"/>
                                <w:color w:val="0000FF"/>
                                <w:szCs w:val="21"/>
                              </w:rPr>
                              <w:t>、小三号； 1.5倍行距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43.4pt;margin-top:3pt;height:61.8pt;width:132.1pt;mso-position-horizontal-relative:page;z-index:251659264;mso-width-relative:page;mso-height-relative:page;" fillcolor="#FFFFFF" filled="t" stroked="t" coordsize="21600,21600" o:gfxdata="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rewTH2AAAAAoBAAAPAAAA&#10;AAAAAAEAIAAAACIAAABkcnMvZG93bnJldi54bWxQSwECFAAUAAAACACHTuJA6InaQYcCAAANBQAA&#10;DgAAAAAAAAABACAAAAAnAQAAZHJzL2Uyb0RvYy54bWxQSwUGAAAAAAYABgBZAQAAIAYAAAAA&#10;" adj="-9140,9499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14D5559">
                      <w:pPr>
                        <w:snapToGrid w:val="0"/>
                        <w:rPr>
                          <w:rFonts w:ascii="宋体" w:hAnsi="宋体" w:eastAsia="宋体"/>
                          <w:color w:val="0000FF"/>
                          <w:szCs w:val="21"/>
                        </w:rPr>
                      </w:pPr>
                      <w:r>
                        <w:rPr>
                          <w:rFonts w:ascii="宋体" w:hAnsi="宋体" w:eastAsia="宋体"/>
                          <w:color w:val="0000FF"/>
                          <w:szCs w:val="21"/>
                        </w:rPr>
                        <w:t>居中、中文黑体、英文Times New Roman</w:t>
                      </w:r>
                      <w:r>
                        <w:rPr>
                          <w:rFonts w:hint="eastAsia" w:ascii="宋体" w:hAnsi="宋体" w:eastAsia="宋体"/>
                          <w:color w:val="0000FF"/>
                          <w:szCs w:val="21"/>
                        </w:rPr>
                        <w:t>加粗</w:t>
                      </w:r>
                      <w:r>
                        <w:rPr>
                          <w:rFonts w:ascii="宋体" w:hAnsi="宋体" w:eastAsia="宋体"/>
                          <w:color w:val="0000FF"/>
                          <w:szCs w:val="21"/>
                        </w:rPr>
                        <w:t>、小三号； 1.5倍行距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/>
          <w:color w:val="0000FF"/>
          <w:sz w:val="21"/>
        </w:rPr>
        <w:t>【注：正式稿蓝色部分和示例部分全部删除】</w:t>
      </w:r>
    </w:p>
    <w:p w14:paraId="2338595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beforeAutospacing="0" w:after="312" w:afterLines="100" w:afterAutospacing="0" w:line="360" w:lineRule="exact"/>
        <w:jc w:val="center"/>
        <w:textAlignment w:val="auto"/>
        <w:outlineLvl w:val="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《</w:t>
      </w:r>
      <w:r>
        <w:rPr>
          <w:rFonts w:ascii="Times New Roman" w:hAnsi="Times New Roman" w:eastAsia="黑体" w:cs="Times New Roman"/>
          <w:sz w:val="30"/>
          <w:szCs w:val="30"/>
        </w:rPr>
        <w:t xml:space="preserve">       </w:t>
      </w:r>
      <w:r>
        <w:rPr>
          <w:rFonts w:hint="eastAsia" w:ascii="Times New Roman" w:hAnsi="Times New Roman" w:eastAsia="黑体" w:cs="黑体"/>
          <w:sz w:val="30"/>
          <w:szCs w:val="30"/>
        </w:rPr>
        <w:t>》课程教学大纲</w:t>
      </w:r>
    </w:p>
    <w:tbl>
      <w:tblPr>
        <w:tblStyle w:val="11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4428"/>
      </w:tblGrid>
      <w:tr w14:paraId="254C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5" w:type="pct"/>
            <w:vAlign w:val="center"/>
          </w:tcPr>
          <w:p w14:paraId="2734B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课程名称：</w:t>
            </w:r>
            <w:r>
              <w:commentReference w:id="0"/>
            </w:r>
          </w:p>
        </w:tc>
        <w:tc>
          <w:tcPr>
            <w:tcW w:w="2444" w:type="pct"/>
            <w:vAlign w:val="center"/>
          </w:tcPr>
          <w:p w14:paraId="41D78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课程代码：</w:t>
            </w:r>
          </w:p>
        </w:tc>
      </w:tr>
      <w:tr w14:paraId="36D5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 w14:paraId="74C23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课程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英文</w:t>
            </w:r>
            <w:r>
              <w:rPr>
                <w:rFonts w:hint="eastAsia" w:ascii="黑体" w:hAnsi="黑体" w:eastAsia="黑体"/>
                <w:szCs w:val="21"/>
              </w:rPr>
              <w:t>名称：</w:t>
            </w:r>
          </w:p>
        </w:tc>
      </w:tr>
      <w:tr w14:paraId="1F73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5" w:type="pct"/>
            <w:vAlign w:val="center"/>
          </w:tcPr>
          <w:p w14:paraId="2574D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学分数：</w:t>
            </w:r>
            <w:r>
              <w:rPr>
                <w:rFonts w:hint="eastAsia" w:ascii="Times New Roman" w:hAnsi="Times New Roman"/>
                <w:color w:val="0000FF"/>
              </w:rPr>
              <w:t>××</w:t>
            </w:r>
            <w:r>
              <w:rPr>
                <w:rFonts w:hint="eastAsia" w:ascii="黑体" w:hAnsi="黑体" w:eastAsia="黑体"/>
                <w:szCs w:val="21"/>
              </w:rPr>
              <w:t>学分</w:t>
            </w:r>
          </w:p>
        </w:tc>
        <w:tc>
          <w:tcPr>
            <w:tcW w:w="2444" w:type="pct"/>
            <w:vAlign w:val="center"/>
          </w:tcPr>
          <w:p w14:paraId="371C2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学时数：</w:t>
            </w:r>
            <w:r>
              <w:rPr>
                <w:rFonts w:hint="eastAsia" w:ascii="Times New Roman" w:hAnsi="Times New Roman"/>
                <w:color w:val="0000FF"/>
              </w:rPr>
              <w:t>××</w:t>
            </w:r>
            <w:r>
              <w:rPr>
                <w:rFonts w:hint="eastAsia" w:ascii="黑体" w:hAnsi="黑体" w:eastAsia="黑体"/>
                <w:szCs w:val="21"/>
              </w:rPr>
              <w:t>学时</w:t>
            </w:r>
            <w:r>
              <w:rPr>
                <w:rFonts w:hint="eastAsia" w:ascii="Times New Roman" w:hAnsi="Times New Roman"/>
                <w:color w:val="0000FF"/>
              </w:rPr>
              <w:t>（理论学时：？；实验学时：？；上机学时：？；…）</w:t>
            </w:r>
          </w:p>
        </w:tc>
      </w:tr>
      <w:tr w14:paraId="5E75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5" w:type="pct"/>
            <w:vAlign w:val="center"/>
          </w:tcPr>
          <w:p w14:paraId="766FDBF0">
            <w:pPr>
              <w:pStyle w:val="9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 w:val="21"/>
                <w:szCs w:val="21"/>
              </w:rPr>
              <w:t>适用专业：</w:t>
            </w:r>
          </w:p>
        </w:tc>
        <w:tc>
          <w:tcPr>
            <w:tcW w:w="2444" w:type="pct"/>
            <w:vAlign w:val="center"/>
          </w:tcPr>
          <w:p w14:paraId="37B6BE1A">
            <w:pPr>
              <w:pStyle w:val="9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黑体" w:hAnsi="黑体" w:eastAsia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1"/>
                <w:szCs w:val="21"/>
                <w:lang w:val="en-US" w:eastAsia="zh-CN"/>
              </w:rPr>
              <w:t>课程性质：</w:t>
            </w:r>
          </w:p>
        </w:tc>
      </w:tr>
      <w:tr w14:paraId="436D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 w14:paraId="6CACC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88" w:rightChars="-137"/>
              <w:textAlignment w:val="auto"/>
              <w:rPr>
                <w:rFonts w:ascii="Times New Roman" w:hAnsi="Times New Roman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Cs w:val="21"/>
              </w:rPr>
              <w:t>先修课程：</w:t>
            </w:r>
            <w:r>
              <w:rPr>
                <w:rFonts w:hint="eastAsia"/>
                <w:color w:val="0000FF"/>
                <w:szCs w:val="21"/>
              </w:rPr>
              <w:t>×××、×××</w:t>
            </w:r>
            <w:r>
              <w:rPr>
                <w:rFonts w:hint="eastAsia" w:ascii="Times New Roman" w:hAnsi="Times New Roman"/>
                <w:color w:val="0000FF"/>
                <w:szCs w:val="21"/>
              </w:rPr>
              <w:t>（根据课程实际选</w:t>
            </w:r>
            <w:r>
              <w:rPr>
                <w:rFonts w:ascii="Times New Roman" w:hAnsi="Times New Roman"/>
                <w:color w:val="0000FF"/>
                <w:szCs w:val="21"/>
              </w:rPr>
              <w:t>填</w:t>
            </w:r>
            <w:r>
              <w:rPr>
                <w:rFonts w:hint="eastAsia" w:ascii="Times New Roman" w:hAnsi="Times New Roman"/>
                <w:color w:val="0000FF"/>
                <w:szCs w:val="21"/>
              </w:rPr>
              <w:t>，可以删除）</w:t>
            </w:r>
          </w:p>
        </w:tc>
      </w:tr>
      <w:tr w14:paraId="7597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 w14:paraId="3E603B83">
            <w:pPr>
              <w:pStyle w:val="9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后续课程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：</w:t>
            </w:r>
            <w:r>
              <w:rPr>
                <w:rFonts w:hint="eastAsia"/>
                <w:color w:val="0000FF"/>
                <w:sz w:val="21"/>
                <w:szCs w:val="21"/>
              </w:rPr>
              <w:t>×××、×××</w:t>
            </w:r>
            <w:r>
              <w:rPr>
                <w:rFonts w:hint="eastAsia" w:ascii="Times New Roman" w:hAnsi="Times New Roman"/>
                <w:color w:val="0000FF"/>
                <w:kern w:val="2"/>
                <w:sz w:val="21"/>
                <w:szCs w:val="21"/>
              </w:rPr>
              <w:t>（根据课程实际选</w:t>
            </w:r>
            <w:r>
              <w:rPr>
                <w:rFonts w:ascii="Times New Roman" w:hAnsi="Times New Roman"/>
                <w:color w:val="0000FF"/>
                <w:kern w:val="2"/>
                <w:sz w:val="21"/>
                <w:szCs w:val="21"/>
              </w:rPr>
              <w:t>填</w:t>
            </w:r>
            <w:r>
              <w:rPr>
                <w:rFonts w:hint="eastAsia" w:ascii="Times New Roman" w:hAnsi="Times New Roman"/>
                <w:color w:val="0000FF"/>
                <w:kern w:val="2"/>
                <w:sz w:val="21"/>
                <w:szCs w:val="21"/>
              </w:rPr>
              <w:t>，可以删除）</w:t>
            </w:r>
          </w:p>
        </w:tc>
      </w:tr>
    </w:tbl>
    <w:p w14:paraId="51F56FA5">
      <w:pPr>
        <w:bidi w:val="0"/>
      </w:pPr>
    </w:p>
    <w:p w14:paraId="32E28A9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一</w:t>
      </w:r>
      <w:r>
        <w:rPr>
          <w:rFonts w:ascii="Times New Roman" w:hAnsi="Times New Roman" w:eastAsia="黑体" w:cs="黑体"/>
        </w:rPr>
        <w:t>、课程简介</w:t>
      </w:r>
    </w:p>
    <w:p w14:paraId="5BD11C7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说明：简要介绍本课程在课程体系的地位及主要内容、基本要求，以及学生通过学习本课程后所能掌握的分析问题和解决问题的能力。（200-300字左右）</w:t>
      </w:r>
    </w:p>
    <w:p w14:paraId="5889C81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示例：</w:t>
      </w:r>
    </w:p>
    <w:p w14:paraId="58E753A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算法设计与分析</w:t>
      </w:r>
      <w:r>
        <w:rPr>
          <w:rFonts w:hint="eastAsia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是计算机类专业的一门重要的专业必修课，课程理论与实践并重，应用范围广，尤其在当前大数据与人工智能时代下，算法设计与分析在计算机科学领域中的重要性更是凸显。课程系统介绍算法效率分析基础以及常用的算法设计思想与方法，包括分治法、动态规划法、贪心法、回溯法、分支限界法、随机化和遗传算法等，并结合实际案例加深算法思想理解和设计方法的探讨。通过本课程的学习，使学生熟练掌握算法复杂性分析基本方法，算法设计的基本理论、方法和技术，训练计算和逻辑思维，锻炼学生分析问题和解决问题的能力，为开发高效的计算系统及相关领域的研究工作奠定坚实的基础。</w:t>
      </w:r>
    </w:p>
    <w:p w14:paraId="1C87372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（空一行）</w:t>
      </w:r>
    </w:p>
    <w:p w14:paraId="1FBBC77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hint="default" w:eastAsia="黑体"/>
          <w:b/>
          <w:color w:val="000000"/>
          <w:lang w:val="en-US" w:eastAsia="zh-CN"/>
        </w:rPr>
      </w:pPr>
      <w:r>
        <w:rPr>
          <w:rFonts w:hint="eastAsia" w:ascii="Times New Roman" w:hAnsi="Times New Roman" w:eastAsia="黑体" w:cs="黑体"/>
        </w:rPr>
        <w:t>二、课程目标</w:t>
      </w:r>
      <w:r>
        <w:rPr>
          <w:rFonts w:hint="eastAsia" w:ascii="Times New Roman" w:hAnsi="Times New Roman" w:eastAsia="黑体" w:cs="黑体"/>
          <w:lang w:val="en-US" w:eastAsia="zh-CN"/>
        </w:rPr>
        <w:t>及与毕业要求的对应关系</w:t>
      </w:r>
    </w:p>
    <w:p w14:paraId="66368BA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hint="default" w:ascii="Times New Roman" w:hAnsi="Times New Roman" w:eastAsia="黑体" w:cs="黑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黑体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黑体" w:cs="黑体"/>
          <w:sz w:val="21"/>
          <w:szCs w:val="21"/>
          <w:lang w:val="en-US" w:eastAsia="zh-CN"/>
        </w:rPr>
        <w:t>一</w:t>
      </w:r>
      <w:r>
        <w:rPr>
          <w:rFonts w:hint="eastAsia" w:ascii="Times New Roman" w:hAnsi="Times New Roman" w:eastAsia="黑体" w:cs="黑体"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黑体" w:cs="黑体"/>
          <w:sz w:val="21"/>
          <w:szCs w:val="21"/>
          <w:lang w:val="en-US" w:eastAsia="zh-CN"/>
        </w:rPr>
        <w:t>课程目标</w:t>
      </w:r>
    </w:p>
    <w:p w14:paraId="1501F9C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说明：课程目标应充分考虑对培养目标和毕业要求的支撑，要覆盖但不局限于毕业要求对应的指标点。从知识、能力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思维与技能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、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素质（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价值观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课程思政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等方面列出。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知识目标、能力目标不一定要分成3点，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数量根据课程实际情况进行增减。要覆盖但不局限于毕业要求对应的指标点。课程目标要使用具体的、可考核的语句分条来描述，如“具有应用……知识的能力”“能够解决……问题”“具备……素质（意识）”等。</w:t>
      </w:r>
    </w:p>
    <w:p w14:paraId="728DE0E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示例：</w:t>
      </w:r>
    </w:p>
    <w:p w14:paraId="40586C5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知识目标：</w:t>
      </w:r>
      <w:r>
        <w:commentReference w:id="1"/>
      </w:r>
    </w:p>
    <w:p w14:paraId="532128E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1.理解混凝土材料和钢筋的物理性能，掌握钢筋混凝土结构共同工作的原理，学会将钢筋混凝土结构的工程问题转化为力学模型，掌握结构设计的基本原则；</w:t>
      </w:r>
    </w:p>
    <w:p w14:paraId="6F625AF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FF"/>
          <w:kern w:val="0"/>
          <w:sz w:val="21"/>
          <w:szCs w:val="21"/>
          <w:lang w:val="en-US" w:eastAsia="zh-CN" w:bidi="ar-SA"/>
        </w:rPr>
        <w:t>2.</w:t>
      </w: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掌握钢筋混凝土结构构件（拉、压、弯、剪、扭、预应力）的受力性能，能正确运用数学、力学等知识进行基本构件的受力分析及公式的推导；</w:t>
      </w:r>
    </w:p>
    <w:p w14:paraId="596D890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default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FF"/>
          <w:kern w:val="0"/>
          <w:sz w:val="21"/>
          <w:szCs w:val="21"/>
          <w:lang w:val="en-US" w:eastAsia="zh-CN" w:bidi="ar-SA"/>
        </w:rPr>
        <w:t>3.</w:t>
      </w: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了解裂缝宽度和变形、结构构造规定。</w:t>
      </w:r>
    </w:p>
    <w:p w14:paraId="6E58E30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能力目标：</w:t>
      </w:r>
    </w:p>
    <w:p w14:paraId="60EDA96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1.理解互换性在产品设计中的重要性，培养学生在产品设计时应用互换性原则的能力；</w:t>
      </w:r>
    </w:p>
    <w:p w14:paraId="01E4F5D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2.具备查阅应用相关国家标准，进行产品精度设计的能力；</w:t>
      </w:r>
    </w:p>
    <w:p w14:paraId="3D3B0C6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3.掌握测量技术的相关概念，具备合理选择通用计量器具，设计专用计量器具，使用计量器具检测机械零部件形状和位置误差，并具有分析测量结果的能力。</w:t>
      </w:r>
    </w:p>
    <w:p w14:paraId="4101843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素质目标：</w:t>
      </w:r>
    </w:p>
    <w:p w14:paraId="6B1A799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1.通过了解……方面的前沿知识或……方面的国内外新技术和发展趋势或……方面的发展历史和现代发展状况，结合国家建设和民族复兴的新时代背景，及时掌握国家相关方面的科技战略需求，树立投身科学研究和技术创新的远大理想；</w:t>
      </w:r>
    </w:p>
    <w:p w14:paraId="2B307CB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2.增强家国情怀与文化自信，弘扬爱国主义精神，强化责任担当意识，激发建功立业使命感。</w:t>
      </w:r>
    </w:p>
    <w:p w14:paraId="3E34729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hint="eastAsia" w:ascii="Times New Roman" w:hAnsi="Times New Roman" w:eastAsia="黑体" w:cs="黑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黑体"/>
          <w:sz w:val="21"/>
          <w:szCs w:val="21"/>
          <w:lang w:val="en-US" w:eastAsia="zh-CN"/>
        </w:rPr>
        <w:t>（二）</w:t>
      </w:r>
      <w:r>
        <w:rPr>
          <w:rFonts w:hint="eastAsia" w:ascii="Times New Roman" w:hAnsi="Times New Roman" w:eastAsia="黑体" w:cs="黑体"/>
          <w:sz w:val="21"/>
          <w:szCs w:val="21"/>
          <w:lang w:eastAsia="zh-CN"/>
        </w:rPr>
        <w:t>课程目标</w:t>
      </w:r>
      <w:r>
        <w:rPr>
          <w:rFonts w:hint="eastAsia" w:ascii="Times New Roman" w:hAnsi="Times New Roman" w:eastAsia="黑体" w:cs="黑体"/>
          <w:sz w:val="21"/>
          <w:szCs w:val="21"/>
          <w:lang w:val="en-US" w:eastAsia="zh-CN"/>
        </w:rPr>
        <w:t>与毕业要求的对应关系</w:t>
      </w:r>
    </w:p>
    <w:p w14:paraId="4DD6706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FF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4"/>
          <w:lang w:val="en-US" w:eastAsia="zh-CN" w:bidi="ar-SA"/>
        </w:rPr>
        <w:t>说明：H表示强相关，M表示中相关，L表示弱相关，课程目标能</w:t>
      </w:r>
      <w:r>
        <w:rPr>
          <w:rFonts w:hint="eastAsia" w:cs="宋体"/>
          <w:color w:val="0000FF"/>
          <w:kern w:val="0"/>
          <w:sz w:val="21"/>
          <w:szCs w:val="24"/>
          <w:lang w:val="en-US" w:eastAsia="zh-CN" w:bidi="ar-SA"/>
        </w:rPr>
        <w:t>完全</w:t>
      </w:r>
      <w:r>
        <w:rPr>
          <w:rFonts w:hint="eastAsia" w:ascii="宋体" w:hAnsi="宋体" w:eastAsia="宋体" w:cs="宋体"/>
          <w:color w:val="0000FF"/>
          <w:kern w:val="0"/>
          <w:sz w:val="21"/>
          <w:szCs w:val="24"/>
          <w:lang w:val="en-US" w:eastAsia="zh-CN" w:bidi="ar-SA"/>
        </w:rPr>
        <w:t>支撑毕业要求指标点，则在对应程度那里填“H”；如果“毕业要求”里面描述的一部分内容，够得到你的“课程目标”的支撑，则填“M”；如果“毕业要求”里面描述的小部分内容，能够得到“课程目标”的支撑，则在对应程度那里填“L”；如果某个“毕业要求”里面描述的内容，得不到“课程目标”支撑，则无需填写；根据课程对应的毕业要求自行添加或删减行，没有对应关系的部分应删除相应行；毕业要求具体文字描述根据课程而异，自行添加或删减内容。</w:t>
      </w:r>
    </w:p>
    <w:p w14:paraId="75B079B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default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示例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：理工科类</w:t>
      </w:r>
    </w:p>
    <w:tbl>
      <w:tblPr>
        <w:tblStyle w:val="12"/>
        <w:tblW w:w="49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1388"/>
        <w:gridCol w:w="3648"/>
        <w:gridCol w:w="1446"/>
      </w:tblGrid>
      <w:tr w14:paraId="3D2E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tblHeader/>
          <w:jc w:val="center"/>
        </w:trPr>
        <w:tc>
          <w:tcPr>
            <w:tcW w:w="1395" w:type="pct"/>
            <w:vAlign w:val="center"/>
          </w:tcPr>
          <w:p w14:paraId="6644487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课程目标</w:t>
            </w:r>
          </w:p>
        </w:tc>
        <w:tc>
          <w:tcPr>
            <w:tcW w:w="772" w:type="pct"/>
            <w:vAlign w:val="center"/>
          </w:tcPr>
          <w:p w14:paraId="3FBC3CF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毕业要求</w:t>
            </w:r>
          </w:p>
        </w:tc>
        <w:tc>
          <w:tcPr>
            <w:tcW w:w="2028" w:type="pct"/>
            <w:vAlign w:val="center"/>
          </w:tcPr>
          <w:p w14:paraId="081E214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毕业要求指标点</w:t>
            </w:r>
          </w:p>
        </w:tc>
        <w:tc>
          <w:tcPr>
            <w:tcW w:w="803" w:type="pct"/>
            <w:vAlign w:val="center"/>
          </w:tcPr>
          <w:p w14:paraId="3F7AEA8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关联度关系</w:t>
            </w:r>
          </w:p>
        </w:tc>
      </w:tr>
      <w:tr w14:paraId="6456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95" w:type="pct"/>
            <w:vAlign w:val="center"/>
          </w:tcPr>
          <w:p w14:paraId="06D0E7DE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知识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目标</w:t>
            </w: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1</w:t>
            </w: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深刻理解互换性的含义，掌握有关公差与配合、几何公差、表面粗糙度的国家标准。</w:t>
            </w:r>
          </w:p>
          <w:p w14:paraId="3B004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72" w:type="pct"/>
            <w:vAlign w:val="center"/>
          </w:tcPr>
          <w:p w14:paraId="03067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1.工程知识</w:t>
            </w:r>
          </w:p>
        </w:tc>
        <w:tc>
          <w:tcPr>
            <w:tcW w:w="2028" w:type="pct"/>
            <w:vAlign w:val="center"/>
          </w:tcPr>
          <w:p w14:paraId="40E43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指标点1.1：系统掌握数学和自然科学知识，掌握逻辑推理的基本技能，通过数据演算，归纳总结相应的逻辑结论，能将这些基础知识用于土木工程专业复杂工程问题的分析、抽象、建模及求解；</w:t>
            </w:r>
          </w:p>
          <w:p w14:paraId="039B2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指标点1.2：掌握计算机科学与技术的专业基础理论和相关方法，并具有将其应用于工程问题的能力。</w:t>
            </w:r>
          </w:p>
        </w:tc>
        <w:tc>
          <w:tcPr>
            <w:tcW w:w="803" w:type="pct"/>
            <w:vAlign w:val="center"/>
          </w:tcPr>
          <w:p w14:paraId="56ED4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H</w:t>
            </w:r>
          </w:p>
        </w:tc>
      </w:tr>
      <w:tr w14:paraId="49D4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1395" w:type="pct"/>
            <w:vAlign w:val="center"/>
          </w:tcPr>
          <w:p w14:paraId="5F90C5B7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能力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目标</w:t>
            </w: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:2.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理解互换性在产品设计中的重要性，培养学生在产品设计时应用互换性原则的能力。具备查阅应用相关国家标准，进行产品精度设计的能力。</w:t>
            </w:r>
          </w:p>
        </w:tc>
        <w:tc>
          <w:tcPr>
            <w:tcW w:w="772" w:type="pct"/>
            <w:vAlign w:val="center"/>
          </w:tcPr>
          <w:p w14:paraId="028FA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2.问题分析</w:t>
            </w:r>
          </w:p>
        </w:tc>
        <w:tc>
          <w:tcPr>
            <w:tcW w:w="2028" w:type="pct"/>
            <w:vAlign w:val="center"/>
          </w:tcPr>
          <w:p w14:paraId="3C50B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指标点2.2：能够在他人指导下分析复杂计算机工程问题，寻求计算机领域复杂工程问题的解决方案并进行评估。</w:t>
            </w:r>
          </w:p>
        </w:tc>
        <w:tc>
          <w:tcPr>
            <w:tcW w:w="803" w:type="pct"/>
            <w:vAlign w:val="center"/>
          </w:tcPr>
          <w:p w14:paraId="3F79D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M</w:t>
            </w:r>
          </w:p>
        </w:tc>
      </w:tr>
      <w:tr w14:paraId="4A4D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5" w:type="pct"/>
            <w:vAlign w:val="center"/>
          </w:tcPr>
          <w:p w14:paraId="4F80D849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...</w:t>
            </w:r>
          </w:p>
        </w:tc>
        <w:tc>
          <w:tcPr>
            <w:tcW w:w="772" w:type="pct"/>
            <w:vAlign w:val="center"/>
          </w:tcPr>
          <w:p w14:paraId="0094B343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...</w:t>
            </w:r>
          </w:p>
        </w:tc>
        <w:tc>
          <w:tcPr>
            <w:tcW w:w="2028" w:type="pct"/>
            <w:vAlign w:val="center"/>
          </w:tcPr>
          <w:p w14:paraId="6A3EA08E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...</w:t>
            </w:r>
          </w:p>
        </w:tc>
        <w:tc>
          <w:tcPr>
            <w:tcW w:w="803" w:type="pct"/>
            <w:vAlign w:val="center"/>
          </w:tcPr>
          <w:p w14:paraId="30A0C944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...</w:t>
            </w:r>
          </w:p>
        </w:tc>
      </w:tr>
    </w:tbl>
    <w:p w14:paraId="575C25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注：H表示强相关，M表示中相关，L表示弱相关</w:t>
      </w:r>
    </w:p>
    <w:p w14:paraId="3A44A2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4"/>
          <w:lang w:val="en-US" w:eastAsia="zh-CN" w:bidi="ar-SA"/>
        </w:rPr>
        <w:t>示例2：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文史艺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类</w:t>
      </w:r>
    </w:p>
    <w:tbl>
      <w:tblPr>
        <w:tblStyle w:val="12"/>
        <w:tblW w:w="49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1394"/>
        <w:gridCol w:w="3580"/>
        <w:gridCol w:w="1431"/>
      </w:tblGrid>
      <w:tr w14:paraId="090B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55" w:type="pct"/>
            <w:vAlign w:val="center"/>
          </w:tcPr>
          <w:p w14:paraId="62CB96F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课程目标</w:t>
            </w:r>
          </w:p>
        </w:tc>
        <w:tc>
          <w:tcPr>
            <w:tcW w:w="771" w:type="pct"/>
            <w:vAlign w:val="center"/>
          </w:tcPr>
          <w:p w14:paraId="6D20826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毕业要求</w:t>
            </w:r>
          </w:p>
        </w:tc>
        <w:tc>
          <w:tcPr>
            <w:tcW w:w="1981" w:type="pct"/>
            <w:vAlign w:val="center"/>
          </w:tcPr>
          <w:p w14:paraId="065C61D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毕业要求指标点</w:t>
            </w:r>
          </w:p>
        </w:tc>
        <w:tc>
          <w:tcPr>
            <w:tcW w:w="791" w:type="pct"/>
            <w:vAlign w:val="center"/>
          </w:tcPr>
          <w:p w14:paraId="2EF3337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关联度关系</w:t>
            </w:r>
          </w:p>
        </w:tc>
      </w:tr>
      <w:tr w14:paraId="6D2E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55" w:type="pct"/>
            <w:vAlign w:val="center"/>
          </w:tcPr>
          <w:p w14:paraId="10F39B9E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知识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目标1：</w:t>
            </w:r>
          </w:p>
        </w:tc>
        <w:tc>
          <w:tcPr>
            <w:tcW w:w="771" w:type="pct"/>
            <w:vAlign w:val="center"/>
          </w:tcPr>
          <w:p w14:paraId="51FF19A1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1.知识</w:t>
            </w: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要求</w:t>
            </w:r>
          </w:p>
        </w:tc>
        <w:tc>
          <w:tcPr>
            <w:tcW w:w="1981" w:type="pct"/>
            <w:vAlign w:val="center"/>
          </w:tcPr>
          <w:p w14:paraId="2896D090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指标点1.1：</w:t>
            </w:r>
          </w:p>
        </w:tc>
        <w:tc>
          <w:tcPr>
            <w:tcW w:w="791" w:type="pct"/>
            <w:vAlign w:val="center"/>
          </w:tcPr>
          <w:p w14:paraId="33C7A243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H</w:t>
            </w:r>
          </w:p>
        </w:tc>
      </w:tr>
      <w:tr w14:paraId="0D66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55" w:type="pct"/>
            <w:vAlign w:val="center"/>
          </w:tcPr>
          <w:p w14:paraId="7AF8750C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知识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目标2：</w:t>
            </w:r>
          </w:p>
        </w:tc>
        <w:tc>
          <w:tcPr>
            <w:tcW w:w="771" w:type="pct"/>
            <w:vAlign w:val="center"/>
          </w:tcPr>
          <w:p w14:paraId="3C862A26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2.能力</w:t>
            </w: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要求</w:t>
            </w:r>
          </w:p>
        </w:tc>
        <w:tc>
          <w:tcPr>
            <w:tcW w:w="1981" w:type="pct"/>
            <w:vAlign w:val="center"/>
          </w:tcPr>
          <w:p w14:paraId="6B0F567B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指标点2.1：</w:t>
            </w:r>
          </w:p>
        </w:tc>
        <w:tc>
          <w:tcPr>
            <w:tcW w:w="791" w:type="pct"/>
            <w:vAlign w:val="center"/>
          </w:tcPr>
          <w:p w14:paraId="2764D1EE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M</w:t>
            </w:r>
          </w:p>
        </w:tc>
      </w:tr>
      <w:tr w14:paraId="36A4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55" w:type="pct"/>
            <w:vAlign w:val="center"/>
          </w:tcPr>
          <w:p w14:paraId="1D097706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能力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目标</w:t>
            </w: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：</w:t>
            </w:r>
          </w:p>
        </w:tc>
        <w:tc>
          <w:tcPr>
            <w:tcW w:w="771" w:type="pct"/>
            <w:vAlign w:val="center"/>
          </w:tcPr>
          <w:p w14:paraId="3332D933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3.素质</w:t>
            </w: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要求</w:t>
            </w:r>
          </w:p>
        </w:tc>
        <w:tc>
          <w:tcPr>
            <w:tcW w:w="1981" w:type="pct"/>
            <w:vAlign w:val="center"/>
          </w:tcPr>
          <w:p w14:paraId="3AE17CEB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指标点3.1：</w:t>
            </w:r>
          </w:p>
        </w:tc>
        <w:tc>
          <w:tcPr>
            <w:tcW w:w="791" w:type="pct"/>
            <w:vAlign w:val="center"/>
          </w:tcPr>
          <w:p w14:paraId="6C11C755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...</w:t>
            </w:r>
          </w:p>
        </w:tc>
      </w:tr>
      <w:tr w14:paraId="7CB9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55" w:type="pct"/>
            <w:vAlign w:val="center"/>
          </w:tcPr>
          <w:p w14:paraId="7DC5191A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...</w:t>
            </w:r>
          </w:p>
        </w:tc>
        <w:tc>
          <w:tcPr>
            <w:tcW w:w="771" w:type="pct"/>
            <w:vAlign w:val="center"/>
          </w:tcPr>
          <w:p w14:paraId="02614D2A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...</w:t>
            </w:r>
          </w:p>
        </w:tc>
        <w:tc>
          <w:tcPr>
            <w:tcW w:w="1981" w:type="pct"/>
            <w:vAlign w:val="center"/>
          </w:tcPr>
          <w:p w14:paraId="66E04747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...</w:t>
            </w:r>
          </w:p>
        </w:tc>
        <w:tc>
          <w:tcPr>
            <w:tcW w:w="791" w:type="pct"/>
            <w:vAlign w:val="center"/>
          </w:tcPr>
          <w:p w14:paraId="250A3E41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...</w:t>
            </w:r>
          </w:p>
        </w:tc>
      </w:tr>
    </w:tbl>
    <w:p w14:paraId="59F0DF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eastAsia="宋体" w:cs="宋体"/>
          <w:color w:val="0000FF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4"/>
          <w:lang w:val="en-US" w:eastAsia="zh-CN" w:bidi="ar-SA"/>
        </w:rPr>
        <w:t>注：H表示强相关，M表示中相关，L表示弱相关</w:t>
      </w:r>
    </w:p>
    <w:p w14:paraId="3A7ABA9D"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ascii="Times New Roman" w:hAnsi="Times New Roman" w:eastAsia="黑体" w:cs="黑体"/>
        </w:rPr>
      </w:pPr>
      <w:r>
        <w:rPr>
          <w:rFonts w:hint="eastAsia"/>
          <w:color w:val="0000FF"/>
          <w:sz w:val="21"/>
        </w:rPr>
        <w:t>（空一行）</w:t>
      </w:r>
    </w:p>
    <w:p w14:paraId="3BD617C7"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/>
          <w:color w:val="0000FF"/>
          <w:sz w:val="21"/>
        </w:rPr>
      </w:pPr>
    </w:p>
    <w:p w14:paraId="19BEC46A"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ascii="Times New Roman" w:hAnsi="Times New Roman" w:eastAsia="黑体" w:cs="黑体"/>
        </w:rPr>
      </w:pPr>
      <w:r>
        <w:rPr>
          <w:rFonts w:hint="eastAsia"/>
          <w:color w:val="0000FF"/>
          <w:sz w:val="21"/>
        </w:rPr>
        <w:t>（空一行）</w:t>
      </w:r>
    </w:p>
    <w:p w14:paraId="3D7462D2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1740" w:leftChars="200" w:hanging="1320" w:hangingChars="550"/>
        <w:textAlignment w:val="auto"/>
        <w:outlineLvl w:val="1"/>
        <w:rPr>
          <w:rFonts w:hint="eastAsia" w:ascii="Times New Roman" w:hAnsi="Times New Roman" w:eastAsia="黑体" w:cs="黑体"/>
          <w:color w:val="0000FF"/>
        </w:rPr>
      </w:pPr>
      <w:r>
        <w:rPr>
          <w:rFonts w:hint="eastAsia" w:ascii="Times New Roman" w:hAnsi="Times New Roman" w:eastAsia="黑体" w:cs="黑体"/>
          <w:color w:val="0000FF"/>
          <w:kern w:val="0"/>
          <w:sz w:val="24"/>
          <w:szCs w:val="24"/>
          <w:lang w:val="en-US" w:eastAsia="zh-CN" w:bidi="ar-SA"/>
        </w:rPr>
        <w:t>三、</w:t>
      </w:r>
      <w:r>
        <w:rPr>
          <w:rFonts w:hint="eastAsia" w:ascii="Times New Roman" w:hAnsi="Times New Roman" w:eastAsia="黑体" w:cs="黑体"/>
          <w:color w:val="0000FF"/>
        </w:rPr>
        <w:t>教学内容</w:t>
      </w:r>
    </w:p>
    <w:p w14:paraId="71085964">
      <w:pPr>
        <w:bidi w:val="0"/>
        <w:ind w:firstLine="420" w:firstLineChars="200"/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说明：按照章节列出教学内容、教学的目标及要求、教学重点、教学难点、课程思政融入点；整门课程思政元素至少有3个，若某章节无课程思政目标无可删除。</w:t>
      </w:r>
    </w:p>
    <w:p w14:paraId="05545E5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cs="宋体"/>
          <w:color w:val="0000FF"/>
          <w:kern w:val="0"/>
          <w:sz w:val="21"/>
          <w:szCs w:val="24"/>
          <w:lang w:val="en-US" w:eastAsia="zh-CN" w:bidi="ar-SA"/>
        </w:rPr>
      </w:pPr>
      <w:r>
        <w:rPr>
          <w:rFonts w:hint="eastAsia" w:cs="宋体"/>
          <w:color w:val="0000FF"/>
          <w:kern w:val="0"/>
          <w:sz w:val="21"/>
          <w:szCs w:val="24"/>
          <w:lang w:val="en-US" w:eastAsia="zh-CN" w:bidi="ar-SA"/>
        </w:rPr>
        <w:t>示例：</w:t>
      </w:r>
    </w:p>
    <w:p w14:paraId="5741DC6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（一）污水生物处理的基本概念和生化反应动力学基础</w:t>
      </w:r>
      <w:r>
        <w:commentReference w:id="2"/>
      </w:r>
    </w:p>
    <w:p w14:paraId="3405B93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教学内容：1.污水生物处理分类、基本原理</w:t>
      </w:r>
      <w:r>
        <w:rPr>
          <w:rFonts w:hint="eastAsia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2462D32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1770" w:leftChars="700" w:hanging="300" w:hangingChars="143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2.微生物生长规律和生长环境、反应速率和级数</w:t>
      </w:r>
      <w:r>
        <w:rPr>
          <w:rFonts w:hint="eastAsia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7527789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leftChars="0" w:firstLine="1470" w:firstLineChars="7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3.微生物生长与底物降解动力学</w:t>
      </w:r>
      <w:r>
        <w:rPr>
          <w:rFonts w:hint="eastAsia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1094764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1411" w:leftChars="200" w:hanging="991" w:hangingChars="472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目标要求：掌握污水生物处理分类、好氧厌氧生物处理机理、微生物生长规律及华景，了解生化反应动力学基础，掌握微生物增长与底物降解之间的关系</w:t>
      </w:r>
      <w:r>
        <w:rPr>
          <w:rFonts w:hint="eastAsia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23296EF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教学重点：微生物增长与底物降解之间的关系</w:t>
      </w:r>
    </w:p>
    <w:p w14:paraId="388C093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教学难点：好氧厌氧生物处理机理</w:t>
      </w:r>
    </w:p>
    <w:p w14:paraId="76888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350" w:leftChars="200" w:hanging="930" w:hangingChars="443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课程思政：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生态文明教育：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将生态文明渗透到课堂教学中，培养学生正确的生态文明观。</w:t>
      </w:r>
    </w:p>
    <w:p w14:paraId="165EB81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黑体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污水水质和污水出路</w:t>
      </w:r>
    </w:p>
    <w:p w14:paraId="5A140DD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教学内容：1.</w:t>
      </w:r>
    </w:p>
    <w:p w14:paraId="11DA3AC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1770" w:leftChars="700" w:hanging="300" w:hangingChars="143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</w:p>
    <w:p w14:paraId="66E2B9C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left="0" w:leftChars="0" w:firstLine="1470" w:firstLineChars="7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</w:p>
    <w:p w14:paraId="1679D8B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left="1411" w:leftChars="200" w:hanging="991" w:hangingChars="472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目标要求：</w:t>
      </w:r>
    </w:p>
    <w:p w14:paraId="66D3570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教学重点：</w:t>
      </w:r>
    </w:p>
    <w:p w14:paraId="54F0934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教学难点：</w:t>
      </w:r>
    </w:p>
    <w:p w14:paraId="61B58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350" w:leftChars="200" w:hanging="930" w:hangingChars="443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课程思政：</w:t>
      </w:r>
    </w:p>
    <w:p w14:paraId="2280C7C4"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/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 w14:paraId="5C1D90BF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80" w:firstLineChars="200"/>
        <w:textAlignment w:val="auto"/>
        <w:outlineLvl w:val="1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四、课内实践教学环节（如没有可删除）</w:t>
      </w:r>
      <w:r>
        <w:commentReference w:id="3"/>
      </w:r>
    </w:p>
    <w:p w14:paraId="1AFA13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hint="default"/>
          <w:color w:val="0000FF"/>
          <w:kern w:val="0"/>
          <w:lang w:val="en-US" w:eastAsia="zh-CN"/>
        </w:rPr>
      </w:pPr>
      <w:r>
        <w:rPr>
          <w:rFonts w:hint="eastAsia"/>
          <w:color w:val="0000FF"/>
          <w:kern w:val="0"/>
        </w:rPr>
        <w:t>说明：如果课程包含课内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>实验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</w:rPr>
        <w:t>、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上机、实践</w:t>
      </w:r>
      <w:r>
        <w:rPr>
          <w:rFonts w:hint="eastAsia"/>
          <w:color w:val="0000FF"/>
          <w:kern w:val="0"/>
          <w:lang w:eastAsia="zh-CN"/>
        </w:rPr>
        <w:t>，</w:t>
      </w:r>
      <w:r>
        <w:rPr>
          <w:rFonts w:hint="eastAsia"/>
          <w:color w:val="0000FF"/>
          <w:kern w:val="0"/>
          <w:lang w:val="en-US" w:eastAsia="zh-CN"/>
        </w:rPr>
        <w:t>则填写本大点，</w:t>
      </w:r>
      <w:r>
        <w:rPr>
          <w:rFonts w:hint="eastAsia"/>
          <w:color w:val="0000FF"/>
          <w:kern w:val="0"/>
        </w:rPr>
        <w:t>如课程无相关实践教学环节，则删除该条</w:t>
      </w:r>
      <w:r>
        <w:rPr>
          <w:rFonts w:hint="eastAsia"/>
          <w:color w:val="0000FF"/>
          <w:kern w:val="0"/>
          <w:lang w:eastAsia="zh-CN"/>
        </w:rPr>
        <w:t>，</w:t>
      </w:r>
      <w:r>
        <w:rPr>
          <w:rFonts w:hint="eastAsia"/>
          <w:color w:val="0000FF"/>
          <w:kern w:val="0"/>
          <w:lang w:val="en-US" w:eastAsia="zh-CN"/>
        </w:rPr>
        <w:t>删除后，注意大点顺序的修改。项目内容请填写类型、内容、要求、方式。</w:t>
      </w:r>
    </w:p>
    <w:p w14:paraId="5A77D2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hint="default"/>
          <w:color w:val="0000FF"/>
          <w:kern w:val="0"/>
          <w:lang w:val="en-US" w:eastAsia="zh-CN"/>
        </w:rPr>
      </w:pPr>
      <w:r>
        <w:rPr>
          <w:rFonts w:hint="eastAsia"/>
          <w:color w:val="0000FF"/>
          <w:kern w:val="0"/>
          <w:lang w:val="en-US" w:eastAsia="zh-CN"/>
        </w:rPr>
        <w:t>示例：</w:t>
      </w:r>
    </w:p>
    <w:tbl>
      <w:tblPr>
        <w:tblStyle w:val="11"/>
        <w:tblW w:w="499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59"/>
        <w:gridCol w:w="1404"/>
        <w:gridCol w:w="1676"/>
        <w:gridCol w:w="1243"/>
        <w:gridCol w:w="750"/>
        <w:gridCol w:w="843"/>
        <w:gridCol w:w="1172"/>
      </w:tblGrid>
      <w:tr w14:paraId="04479E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3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5D6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cs="Tahom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6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EB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cs="Tahoma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</w:rPr>
              <w:t>项目</w:t>
            </w:r>
            <w:r>
              <w:rPr>
                <w:rFonts w:hint="eastAsia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7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513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</w:rPr>
              <w:t>项目</w:t>
            </w:r>
            <w:r>
              <w:rPr>
                <w:rFonts w:hint="eastAsia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9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156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cs="Tahoma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项目要求</w:t>
            </w:r>
          </w:p>
        </w:tc>
        <w:tc>
          <w:tcPr>
            <w:tcW w:w="6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8AB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cs="Tahoma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项目方法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74B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cs="Tahoma" w:asciiTheme="minorHAnsi" w:hAnsiTheme="minorHAnsi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4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146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cs="Tahoma" w:asciiTheme="minorHAnsi" w:hAnsiTheme="minorHAnsi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</w:rPr>
              <w:t>学时</w:t>
            </w:r>
          </w:p>
        </w:tc>
        <w:tc>
          <w:tcPr>
            <w:tcW w:w="6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806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cs="Tahoma" w:asciiTheme="minorHAnsi" w:hAnsiTheme="minorHAnsi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</w:rPr>
              <w:t>每组人数</w:t>
            </w:r>
          </w:p>
        </w:tc>
      </w:tr>
      <w:tr w14:paraId="01994E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3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97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917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cs="Tahom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电流继电器和电压继电器特性实验</w:t>
            </w:r>
          </w:p>
        </w:tc>
        <w:tc>
          <w:tcPr>
            <w:tcW w:w="7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4CC65A"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jc w:val="left"/>
              <w:textAlignment w:val="auto"/>
              <w:rPr>
                <w:rFonts w:hint="default" w:cs="Tahom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ahom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电流继电器动作、返回电流值测试实验</w:t>
            </w:r>
            <w:r>
              <w:rPr>
                <w:rFonts w:hint="eastAsia" w:cs="Tahom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cs="Tahom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电压继电器动作、返回电压值测试实验</w:t>
            </w:r>
          </w:p>
        </w:tc>
        <w:tc>
          <w:tcPr>
            <w:tcW w:w="9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0DC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cs="Tahom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了解继电器基本分类、方法及其结构；熟悉常用电流继电器和电压继电器；学会调整，测量电磁型继电器的动作值，返回值和返回系数</w:t>
            </w:r>
          </w:p>
        </w:tc>
        <w:tc>
          <w:tcPr>
            <w:tcW w:w="6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2DC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讲练结合、分组进行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A6E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cs="Tahoma" w:asciiTheme="minorHAnsi" w:hAnsiTheme="minorHAns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验证</w:t>
            </w:r>
          </w:p>
        </w:tc>
        <w:tc>
          <w:tcPr>
            <w:tcW w:w="4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13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07E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5人</w:t>
            </w:r>
          </w:p>
        </w:tc>
      </w:tr>
      <w:tr w14:paraId="3AE8CA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  <w:jc w:val="center"/>
        </w:trPr>
        <w:tc>
          <w:tcPr>
            <w:tcW w:w="3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0CE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5D5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cs="Tahom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DCD—2差动继电器实验</w:t>
            </w:r>
          </w:p>
        </w:tc>
        <w:tc>
          <w:tcPr>
            <w:tcW w:w="7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B4F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eastAsia="宋体" w:cs="Tahom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继电器动作安匝测定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差动线圈与平衡线圈极性检查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04D508F"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jc w:val="left"/>
              <w:textAlignment w:val="auto"/>
              <w:rPr>
                <w:rFonts w:cs="Tahom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8A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了解DCD—2差动继电器结构及各线圈作用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掌握继电器各线圈间极性检查方法及继电器的动作安匝测定方法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了解直流分量对继电器动作特性的影响。</w:t>
            </w:r>
          </w:p>
        </w:tc>
        <w:tc>
          <w:tcPr>
            <w:tcW w:w="6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5F4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讲练结合、分组进行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4F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  <w:tc>
          <w:tcPr>
            <w:tcW w:w="4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CD6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4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9A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3人</w:t>
            </w:r>
          </w:p>
        </w:tc>
      </w:tr>
    </w:tbl>
    <w:p w14:paraId="3A74790F"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/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 w14:paraId="59067893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80" w:firstLineChars="200"/>
        <w:textAlignment w:val="auto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五、</w:t>
      </w:r>
      <w:r>
        <w:rPr>
          <w:rFonts w:hint="eastAsia" w:ascii="Times New Roman" w:hAnsi="Times New Roman" w:eastAsia="黑体" w:cs="黑体"/>
        </w:rPr>
        <w:t>学时</w:t>
      </w:r>
      <w:r>
        <w:rPr>
          <w:rFonts w:ascii="Times New Roman" w:hAnsi="Times New Roman" w:eastAsia="黑体" w:cs="黑体"/>
        </w:rPr>
        <w:t>分配</w:t>
      </w:r>
    </w:p>
    <w:p w14:paraId="490D4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说明：根据第三点的教学内容制定出科学的学时分配、教学方式。教学方式要与教学目标统一起来，介绍课堂教学中的使用的方法及其目的。教学方式</w:t>
      </w:r>
      <w:r>
        <w:rPr>
          <w:rFonts w:hint="eastAsia"/>
          <w:color w:val="0000FF"/>
          <w:lang w:eastAsia="zh-CN"/>
        </w:rPr>
        <w:t>课堂讲授、学生在线自学、</w:t>
      </w:r>
      <w:r>
        <w:rPr>
          <w:rFonts w:hint="eastAsia"/>
          <w:color w:val="0000FF"/>
          <w:lang w:val="en-US" w:eastAsia="zh-CN"/>
        </w:rPr>
        <w:t>调研、小组讨论、翻转课堂、讨论、角色扮演、虚拟仿真等。</w:t>
      </w:r>
    </w:p>
    <w:p w14:paraId="0C9C155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/>
          <w:color w:val="0000FF"/>
          <w:sz w:val="21"/>
          <w:lang w:val="en-US" w:eastAsia="zh-CN"/>
        </w:rPr>
      </w:pPr>
      <w:r>
        <w:rPr>
          <w:rFonts w:hint="eastAsia"/>
          <w:color w:val="0000FF"/>
          <w:sz w:val="21"/>
          <w:lang w:val="en-US" w:eastAsia="zh-CN"/>
        </w:rPr>
        <w:t>示例：</w:t>
      </w:r>
    </w:p>
    <w:tbl>
      <w:tblPr>
        <w:tblStyle w:val="11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301"/>
        <w:gridCol w:w="705"/>
        <w:gridCol w:w="1191"/>
        <w:gridCol w:w="1189"/>
        <w:gridCol w:w="858"/>
        <w:gridCol w:w="1737"/>
      </w:tblGrid>
      <w:tr w14:paraId="4EF9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" w:hRule="atLeast"/>
          <w:tblHeader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133E2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目次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02F1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CAAC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讲授学时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2FE93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教学方式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5798B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实验或实践学时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3283E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958" w:type="pct"/>
            <w:vAlign w:val="center"/>
          </w:tcPr>
          <w:p w14:paraId="1434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对应课程目标</w:t>
            </w:r>
          </w:p>
        </w:tc>
      </w:tr>
      <w:tr w14:paraId="408F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1652324C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2FEF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污水水质和污水出路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98FA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17E25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B2BCD65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23AE8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8" w:type="pct"/>
            <w:vAlign w:val="center"/>
          </w:tcPr>
          <w:p w14:paraId="40B91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</w:t>
            </w:r>
          </w:p>
          <w:p w14:paraId="18143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素质目标1,2,3</w:t>
            </w:r>
          </w:p>
        </w:tc>
      </w:tr>
      <w:tr w14:paraId="5E199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5252F19F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11A6F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污水的物理处理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B462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32253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2FF088E3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5330F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58" w:type="pct"/>
            <w:vAlign w:val="center"/>
          </w:tcPr>
          <w:p w14:paraId="0C4BF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  <w:p w14:paraId="0E441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  <w:p w14:paraId="78F72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素质目标1,2,3</w:t>
            </w:r>
          </w:p>
        </w:tc>
      </w:tr>
      <w:tr w14:paraId="242D0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2AE61382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（三）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30F2D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污水生物处理的基本概念和生化反应动力 学基础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CD1D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5C5B8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学生在线自学、课堂讲授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7DDBD551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49E75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8" w:type="pct"/>
            <w:vAlign w:val="center"/>
          </w:tcPr>
          <w:p w14:paraId="0452B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</w:tc>
      </w:tr>
      <w:tr w14:paraId="44E6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2689EBD0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（四）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5BC4E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活性污泥法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CE4D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16808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学生在线自学、课堂讲授、</w:t>
            </w:r>
            <w:r>
              <w:rPr>
                <w:rFonts w:hint="eastAsia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5D0FACE0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64043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58" w:type="pct"/>
            <w:vAlign w:val="center"/>
          </w:tcPr>
          <w:p w14:paraId="4E57C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  <w:p w14:paraId="17C7A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  <w:p w14:paraId="5F62B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素质目标1,2,3</w:t>
            </w:r>
          </w:p>
        </w:tc>
      </w:tr>
      <w:tr w14:paraId="6938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5400542C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20687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生物膜法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011D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2769C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4D620ADF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3661E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8" w:type="pct"/>
            <w:vAlign w:val="center"/>
          </w:tcPr>
          <w:p w14:paraId="5C711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  <w:p w14:paraId="61754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  <w:p w14:paraId="703F4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素质目标1,2,3</w:t>
            </w:r>
          </w:p>
        </w:tc>
      </w:tr>
      <w:tr w14:paraId="60FF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636A3CA3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1EE17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稳定塘和污水的土地处理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E993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17390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37F945F9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1E5F3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8" w:type="pct"/>
            <w:vAlign w:val="center"/>
          </w:tcPr>
          <w:p w14:paraId="19E99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  <w:p w14:paraId="5DDDF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</w:tc>
      </w:tr>
      <w:tr w14:paraId="5A1F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5FBF3869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（七）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01E5B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污水的厌氧生物处理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1361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4F3F2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4133E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1F1A6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8" w:type="pct"/>
            <w:vAlign w:val="center"/>
          </w:tcPr>
          <w:p w14:paraId="4351F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</w:tc>
      </w:tr>
      <w:tr w14:paraId="0F39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782AADC3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（八）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53697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污水的化学与物理化学处理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3A2C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4AE73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调研、</w:t>
            </w: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9252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2A386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8" w:type="pct"/>
            <w:vAlign w:val="center"/>
          </w:tcPr>
          <w:p w14:paraId="0E77A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</w:tc>
      </w:tr>
      <w:tr w14:paraId="521A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798BC09E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（九）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5ADD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城市污水回用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6576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C8E1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68E06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0BD7A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8" w:type="pct"/>
            <w:vAlign w:val="center"/>
          </w:tcPr>
          <w:p w14:paraId="3FFF6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  <w:p w14:paraId="324F0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</w:tc>
      </w:tr>
      <w:tr w14:paraId="351CC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68C49C3A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（十）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00330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污泥的处理与处置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7D93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1E212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3C559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781DB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8" w:type="pct"/>
            <w:vAlign w:val="center"/>
          </w:tcPr>
          <w:p w14:paraId="42E3B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  <w:p w14:paraId="2D1CC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</w:tc>
      </w:tr>
      <w:tr w14:paraId="6AB1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19CFAF0F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（十一）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248A3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污水处理厂设计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603A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32098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2847D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14:paraId="015F2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8" w:type="pct"/>
            <w:vAlign w:val="center"/>
          </w:tcPr>
          <w:p w14:paraId="10551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素质目标1,2,3</w:t>
            </w:r>
          </w:p>
        </w:tc>
      </w:tr>
      <w:tr w14:paraId="7345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3" w:type="pct"/>
            <w:shd w:val="clear" w:color="auto" w:fill="auto"/>
            <w:vAlign w:val="center"/>
          </w:tcPr>
          <w:p w14:paraId="14038EE7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6ECBB01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1BBCD234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21115C51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57A28461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2E541DCE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58" w:type="pct"/>
            <w:vAlign w:val="center"/>
          </w:tcPr>
          <w:p w14:paraId="06F2C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0023A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1F34C4"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/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 w14:paraId="0814B848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80" w:firstLineChars="200"/>
        <w:textAlignment w:val="auto"/>
        <w:outlineLvl w:val="1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六、考核方式及要求</w:t>
      </w:r>
    </w:p>
    <w:p w14:paraId="6E80F0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  <w:t>说明：由教研室和课程组根据课程类型、课程性质、课程内容及特点，确定适合的考核内容、考核方式及成绩评定。考核内容重点考核学生获取知识的能力、应用所学知识分析问题和解决问题能力、实践动手能力和创新能力等；</w:t>
      </w:r>
    </w:p>
    <w:p w14:paraId="55F29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黑体"/>
          <w:b/>
          <w:bCs/>
          <w:color w:val="0000FF"/>
          <w:kern w:val="0"/>
          <w:sz w:val="21"/>
          <w:szCs w:val="21"/>
          <w:lang w:val="en-US" w:eastAsia="zh-CN" w:bidi="ar-SA"/>
        </w:rPr>
        <w:t>成绩构成</w:t>
      </w:r>
      <w:r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  <w:t>：平时成绩、课内实践环节成绩（实验成绩、实践成绩、上机成绩）、期末考核等构成；</w:t>
      </w:r>
    </w:p>
    <w:p w14:paraId="34704B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黑体"/>
          <w:b/>
          <w:bCs/>
          <w:color w:val="0000FF"/>
          <w:kern w:val="0"/>
          <w:sz w:val="21"/>
          <w:szCs w:val="21"/>
          <w:lang w:val="en-US" w:eastAsia="zh-CN" w:bidi="ar-SA"/>
        </w:rPr>
        <w:t>考核方式</w:t>
      </w:r>
      <w:r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  <w:t>：笔试、口试、答辩、课堂测验、论文、课堂表现、课堂讨论、平时测试、作业测评、课外阅读、社会实践、期末技能考核、作品、课堂实训、社会调查、竞赛等；</w:t>
      </w:r>
    </w:p>
    <w:p w14:paraId="179539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  <w:t>成绩评定加大过程考核及阶段性考核成绩比例（原则上在</w:t>
      </w:r>
      <w:r>
        <w:rPr>
          <w:rFonts w:hint="eastAsia" w:ascii="宋体" w:hAnsi="宋体" w:eastAsia="宋体" w:cs="黑体"/>
          <w:b/>
          <w:bCs/>
          <w:color w:val="0000FF"/>
          <w:kern w:val="0"/>
          <w:sz w:val="21"/>
          <w:szCs w:val="21"/>
          <w:lang w:val="en-US" w:eastAsia="zh-CN" w:bidi="ar-SA"/>
        </w:rPr>
        <w:t>40%~60%</w:t>
      </w:r>
      <w:r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  <w:t>），减少期末成绩的占分比例。</w:t>
      </w:r>
    </w:p>
    <w:p w14:paraId="09BC61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/>
          <w:color w:val="000000" w:themeColor="text1"/>
          <w:kern w:val="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u w:val="none"/>
          <w:lang w:val="en-US" w:eastAsia="zh-CN"/>
          <w14:textFill>
            <w14:solidFill>
              <w14:schemeClr w14:val="tx1"/>
            </w14:solidFill>
          </w14:textFill>
        </w:rPr>
        <w:t>示例：本课程的成绩构成分为平时成绩（40%）和期末成绩（60%）两部分。平时成绩的考核方式包括有课堂表现、课后习题及报告、课堂测验；期末成绩的考核方式为期末笔试。两者结合评定综合成绩折算为课程最终成绩。具体考核评价如下：</w:t>
      </w:r>
      <w:r>
        <w:commentReference w:id="4"/>
      </w:r>
    </w:p>
    <w:tbl>
      <w:tblPr>
        <w:tblStyle w:val="11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796"/>
        <w:gridCol w:w="2439"/>
        <w:gridCol w:w="2166"/>
        <w:gridCol w:w="1049"/>
        <w:gridCol w:w="1819"/>
      </w:tblGrid>
      <w:tr w14:paraId="058E8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Header/>
          <w:jc w:val="center"/>
        </w:trPr>
        <w:tc>
          <w:tcPr>
            <w:tcW w:w="435" w:type="pct"/>
            <w:tcBorders>
              <w:tl2br w:val="nil"/>
              <w:tr2bl w:val="nil"/>
            </w:tcBorders>
            <w:vAlign w:val="center"/>
          </w:tcPr>
          <w:p w14:paraId="79A0ECC9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成绩构成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14:paraId="49919EC6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vAlign w:val="center"/>
          </w:tcPr>
          <w:p w14:paraId="375B12F2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重点考察内容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vAlign w:val="center"/>
          </w:tcPr>
          <w:p w14:paraId="765A24AF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评价标准</w:t>
            </w:r>
          </w:p>
        </w:tc>
        <w:tc>
          <w:tcPr>
            <w:tcW w:w="579" w:type="pct"/>
            <w:tcBorders>
              <w:tl2br w:val="nil"/>
              <w:tr2bl w:val="nil"/>
            </w:tcBorders>
            <w:vAlign w:val="center"/>
          </w:tcPr>
          <w:p w14:paraId="42357998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比重（%）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096C637F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对应课程目标</w:t>
            </w:r>
          </w:p>
        </w:tc>
      </w:tr>
      <w:tr w14:paraId="34146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35" w:type="pct"/>
            <w:vMerge w:val="restart"/>
            <w:tcBorders>
              <w:tl2br w:val="nil"/>
              <w:tr2bl w:val="nil"/>
            </w:tcBorders>
            <w:vAlign w:val="center"/>
          </w:tcPr>
          <w:p w14:paraId="52DCE052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平时成绩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14:paraId="26D8DB12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课堂表现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vAlign w:val="center"/>
          </w:tcPr>
          <w:p w14:paraId="1E2D2C13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主要考察学生课堂出勤率以及课堂学生PPT陈述、提问、回答等表现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vAlign w:val="center"/>
          </w:tcPr>
          <w:p w14:paraId="3565BC73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依据课堂出勤记录和课堂讨论及提问的参与度，按100分制评分，取平均值乘以其在总评成绩中所占的比例（10%）计入课程总评成绩。</w:t>
            </w:r>
          </w:p>
        </w:tc>
        <w:tc>
          <w:tcPr>
            <w:tcW w:w="579" w:type="pct"/>
            <w:tcBorders>
              <w:tl2br w:val="nil"/>
              <w:tr2bl w:val="nil"/>
            </w:tcBorders>
            <w:vAlign w:val="center"/>
          </w:tcPr>
          <w:p w14:paraId="16017910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0A774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  <w:p w14:paraId="25895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  <w:p w14:paraId="0966B4A8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目标1</w:t>
            </w: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13DF4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435" w:type="pct"/>
            <w:vMerge w:val="continue"/>
            <w:tcBorders>
              <w:tl2br w:val="nil"/>
              <w:tr2bl w:val="nil"/>
            </w:tcBorders>
            <w:vAlign w:val="center"/>
          </w:tcPr>
          <w:p w14:paraId="090E58FB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14:paraId="6D18687C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课后习题及报告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vAlign w:val="center"/>
          </w:tcPr>
          <w:p w14:paraId="740DA020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主要考核学生对章节基础知识点的复习、理解和掌握程度，及相关知识点的应用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vAlign w:val="center"/>
          </w:tcPr>
          <w:p w14:paraId="42F55B9D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依据作业完整度、准确率， 课程报告 的思路、内容完整度、准确度，按100 分制评分， 乘以其在总评成绩中所占的比例（20%）计入课程总评成绩。</w:t>
            </w:r>
          </w:p>
        </w:tc>
        <w:tc>
          <w:tcPr>
            <w:tcW w:w="579" w:type="pct"/>
            <w:tcBorders>
              <w:tl2br w:val="nil"/>
              <w:tr2bl w:val="nil"/>
            </w:tcBorders>
            <w:vAlign w:val="center"/>
          </w:tcPr>
          <w:p w14:paraId="6245442C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5DC7E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  <w:p w14:paraId="01569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  <w:p w14:paraId="6BF14C29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目标1</w:t>
            </w: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022D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435" w:type="pct"/>
            <w:vMerge w:val="continue"/>
            <w:tcBorders>
              <w:tl2br w:val="nil"/>
              <w:tr2bl w:val="nil"/>
            </w:tcBorders>
            <w:vAlign w:val="center"/>
          </w:tcPr>
          <w:p w14:paraId="07804664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14:paraId="5015187E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课堂测验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vAlign w:val="center"/>
          </w:tcPr>
          <w:p w14:paraId="754E9F55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主要考核学生对章节基础知识点的复习、理解和掌握程度，及相关知识点的应用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vAlign w:val="center"/>
          </w:tcPr>
          <w:p w14:paraId="02B665CA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依据学生课堂测验的成绩，每次课堂测验按100分制单独评分，取平均值乘以其在总评成绩中所占的比例（10%）计入课程总评成绩。</w:t>
            </w:r>
          </w:p>
        </w:tc>
        <w:tc>
          <w:tcPr>
            <w:tcW w:w="579" w:type="pct"/>
            <w:tcBorders>
              <w:tl2br w:val="nil"/>
              <w:tr2bl w:val="nil"/>
            </w:tcBorders>
            <w:vAlign w:val="center"/>
          </w:tcPr>
          <w:p w14:paraId="106903CB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6EB96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  <w:p w14:paraId="063B3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  <w:p w14:paraId="1DEB6C4A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目标1</w:t>
            </w: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4F3C9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  <w:jc w:val="center"/>
        </w:trPr>
        <w:tc>
          <w:tcPr>
            <w:tcW w:w="435" w:type="pct"/>
            <w:tcBorders>
              <w:tl2br w:val="nil"/>
              <w:tr2bl w:val="nil"/>
            </w:tcBorders>
            <w:vAlign w:val="center"/>
          </w:tcPr>
          <w:p w14:paraId="3E704177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期末成绩</w:t>
            </w: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14:paraId="7D17F3AE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期末考试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vAlign w:val="center"/>
          </w:tcPr>
          <w:p w14:paraId="0765B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重点考察学生对基本概念、方法和原理的掌握程度；对污水处理技术及工艺原理、特征及影响因素的理解；综合运用基本方法解决问题的能力。</w:t>
            </w:r>
          </w:p>
        </w:tc>
        <w:tc>
          <w:tcPr>
            <w:tcW w:w="1195" w:type="pct"/>
            <w:tcBorders>
              <w:tl2br w:val="nil"/>
              <w:tr2bl w:val="nil"/>
            </w:tcBorders>
            <w:vAlign w:val="center"/>
          </w:tcPr>
          <w:p w14:paraId="6861B6D6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主要题型有名词解释、选择题、简答题、计算题和综合分析题等，其中基础知识题约占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%、能力题约占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%。</w:t>
            </w:r>
          </w:p>
          <w:p w14:paraId="3C26884A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（2）卷面成绩 100 分</w:t>
            </w:r>
          </w:p>
          <w:p w14:paraId="451D045C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（3）以卷面成绩乘以其在总评成绩中所占的比例（60%）计入课程总评成绩。</w:t>
            </w:r>
          </w:p>
        </w:tc>
        <w:tc>
          <w:tcPr>
            <w:tcW w:w="579" w:type="pct"/>
            <w:tcBorders>
              <w:tl2br w:val="nil"/>
              <w:tr2bl w:val="nil"/>
            </w:tcBorders>
            <w:vAlign w:val="center"/>
          </w:tcPr>
          <w:p w14:paraId="51491C61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3D380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知识目标1,2,3</w:t>
            </w:r>
          </w:p>
          <w:p w14:paraId="48DCE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能力目标1,2,3</w:t>
            </w:r>
          </w:p>
          <w:p w14:paraId="0D3E094D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目标1</w:t>
            </w: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08822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35" w:type="pct"/>
            <w:tcBorders>
              <w:tl2br w:val="nil"/>
              <w:tr2bl w:val="nil"/>
            </w:tcBorders>
            <w:vAlign w:val="center"/>
          </w:tcPr>
          <w:p w14:paraId="2BE82B79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vAlign w:val="center"/>
          </w:tcPr>
          <w:p w14:paraId="6E3FE151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2541" w:type="pct"/>
            <w:gridSpan w:val="2"/>
            <w:tcBorders>
              <w:tl2br w:val="nil"/>
              <w:tr2bl w:val="nil"/>
            </w:tcBorders>
            <w:vAlign w:val="center"/>
          </w:tcPr>
          <w:p w14:paraId="15BD170F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pct"/>
            <w:tcBorders>
              <w:tl2br w:val="nil"/>
              <w:tr2bl w:val="nil"/>
            </w:tcBorders>
            <w:vAlign w:val="center"/>
          </w:tcPr>
          <w:p w14:paraId="717D14C7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04" w:type="pct"/>
            <w:tcBorders>
              <w:tl2br w:val="nil"/>
              <w:tr2bl w:val="nil"/>
            </w:tcBorders>
            <w:vAlign w:val="center"/>
          </w:tcPr>
          <w:p w14:paraId="25CB7356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F3519F"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jc w:val="both"/>
        <w:textAlignment w:val="auto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 w14:paraId="2656AF3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黑体"/>
          <w:lang w:val="en-US" w:eastAsia="zh-CN"/>
        </w:rPr>
        <w:t>七</w:t>
      </w:r>
      <w:r>
        <w:rPr>
          <w:rFonts w:hint="eastAsia" w:ascii="Times New Roman" w:hAnsi="Times New Roman" w:eastAsia="黑体" w:cs="黑体"/>
        </w:rPr>
        <w:t>、教学实施建议</w:t>
      </w:r>
    </w:p>
    <w:p w14:paraId="79251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cs="宋体"/>
          <w:color w:val="0000FF"/>
          <w:kern w:val="0"/>
        </w:rPr>
      </w:pPr>
      <w:r>
        <w:rPr>
          <w:rFonts w:hint="eastAsia" w:cs="宋体"/>
          <w:color w:val="0000FF"/>
        </w:rPr>
        <w:t>说明：基于学生中心（SC）、产出导向（OBE）理念，简述该课程教学活动所运用的主要教学手段和方法，</w:t>
      </w:r>
      <w:r>
        <w:rPr>
          <w:rFonts w:hint="eastAsia" w:cs="宋体"/>
          <w:color w:val="0000FF"/>
          <w:kern w:val="0"/>
        </w:rPr>
        <w:t>教学方法应对以下内容清晰描述：</w:t>
      </w:r>
    </w:p>
    <w:p w14:paraId="2E5EC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color w:val="0000FF"/>
          <w:kern w:val="0"/>
        </w:rPr>
      </w:pPr>
      <w:r>
        <w:rPr>
          <w:rFonts w:hint="eastAsia" w:cs="宋体"/>
          <w:color w:val="0000FF"/>
          <w:kern w:val="0"/>
        </w:rPr>
        <w:t>1</w:t>
      </w:r>
      <w:r>
        <w:rPr>
          <w:rFonts w:hint="eastAsia" w:cs="宋体"/>
          <w:color w:val="0000FF"/>
          <w:kern w:val="0"/>
          <w:lang w:val="en-US" w:eastAsia="zh-CN"/>
        </w:rPr>
        <w:t>.</w:t>
      </w:r>
      <w:r>
        <w:rPr>
          <w:rFonts w:hint="eastAsia" w:cs="宋体"/>
          <w:color w:val="0000FF"/>
          <w:kern w:val="0"/>
        </w:rPr>
        <w:t>根据课程教学设计说明课外学习建议时数、在线自主学习建议时数。</w:t>
      </w:r>
    </w:p>
    <w:p w14:paraId="41CCE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hAnsi="宋体"/>
          <w:color w:val="0000FF"/>
          <w:kern w:val="0"/>
        </w:rPr>
      </w:pPr>
      <w:r>
        <w:rPr>
          <w:rFonts w:hint="eastAsia"/>
          <w:color w:val="0000FF"/>
          <w:kern w:val="0"/>
        </w:rPr>
        <w:t>2</w:t>
      </w:r>
      <w:r>
        <w:rPr>
          <w:rFonts w:hint="eastAsia"/>
          <w:color w:val="0000FF"/>
          <w:kern w:val="0"/>
          <w:lang w:val="en-US" w:eastAsia="zh-CN"/>
        </w:rPr>
        <w:t>.</w:t>
      </w:r>
      <w:r>
        <w:rPr>
          <w:rFonts w:hint="eastAsia" w:cs="宋体"/>
          <w:color w:val="0000FF"/>
          <w:kern w:val="0"/>
        </w:rPr>
        <w:t>采用哪些教学方法？是</w:t>
      </w:r>
      <w:r>
        <w:rPr>
          <w:rFonts w:cs="宋体"/>
          <w:color w:val="0000FF"/>
          <w:kern w:val="0"/>
        </w:rPr>
        <w:t>否线上线</w:t>
      </w:r>
      <w:r>
        <w:rPr>
          <w:rFonts w:hint="eastAsia" w:cs="宋体"/>
          <w:color w:val="0000FF"/>
          <w:kern w:val="0"/>
        </w:rPr>
        <w:t>下</w:t>
      </w:r>
      <w:r>
        <w:rPr>
          <w:rFonts w:cs="宋体"/>
          <w:color w:val="0000FF"/>
          <w:kern w:val="0"/>
        </w:rPr>
        <w:t>混合教学</w:t>
      </w:r>
      <w:r>
        <w:rPr>
          <w:rFonts w:hint="eastAsia" w:cs="宋体"/>
          <w:color w:val="0000FF"/>
          <w:kern w:val="0"/>
        </w:rPr>
        <w:t>等</w:t>
      </w:r>
      <w:r>
        <w:rPr>
          <w:rFonts w:cs="宋体"/>
          <w:color w:val="0000FF"/>
          <w:kern w:val="0"/>
        </w:rPr>
        <w:t>？</w:t>
      </w:r>
    </w:p>
    <w:p w14:paraId="5E7807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hAnsi="宋体"/>
          <w:color w:val="0000FF"/>
          <w:kern w:val="0"/>
        </w:rPr>
      </w:pPr>
      <w:r>
        <w:rPr>
          <w:rFonts w:hint="eastAsia"/>
          <w:color w:val="0000FF"/>
          <w:kern w:val="0"/>
        </w:rPr>
        <w:t>3</w:t>
      </w:r>
      <w:r>
        <w:rPr>
          <w:rFonts w:hint="eastAsia"/>
          <w:color w:val="0000FF"/>
          <w:kern w:val="0"/>
          <w:lang w:val="en-US" w:eastAsia="zh-CN"/>
        </w:rPr>
        <w:t>.</w:t>
      </w:r>
      <w:r>
        <w:rPr>
          <w:rFonts w:hint="eastAsia" w:cs="宋体"/>
          <w:color w:val="0000FF"/>
          <w:kern w:val="0"/>
        </w:rPr>
        <w:t>如何组织？运用哪些教学手段？运</w:t>
      </w:r>
      <w:r>
        <w:rPr>
          <w:rFonts w:cs="宋体"/>
          <w:color w:val="0000FF"/>
          <w:kern w:val="0"/>
        </w:rPr>
        <w:t>用哪些</w:t>
      </w:r>
      <w:r>
        <w:rPr>
          <w:rFonts w:hint="eastAsia" w:cs="宋体"/>
          <w:color w:val="0000FF"/>
          <w:kern w:val="0"/>
        </w:rPr>
        <w:t>教</w:t>
      </w:r>
      <w:r>
        <w:rPr>
          <w:rFonts w:cs="宋体"/>
          <w:color w:val="0000FF"/>
          <w:kern w:val="0"/>
        </w:rPr>
        <w:t>学</w:t>
      </w:r>
      <w:r>
        <w:rPr>
          <w:rFonts w:hint="eastAsia" w:cs="宋体"/>
          <w:color w:val="0000FF"/>
          <w:kern w:val="0"/>
        </w:rPr>
        <w:t>平台</w:t>
      </w:r>
      <w:r>
        <w:rPr>
          <w:rFonts w:cs="宋体"/>
          <w:color w:val="0000FF"/>
          <w:kern w:val="0"/>
        </w:rPr>
        <w:t>软件（如学习通</w:t>
      </w:r>
      <w:r>
        <w:rPr>
          <w:rFonts w:hint="eastAsia" w:cs="宋体"/>
          <w:color w:val="0000FF"/>
          <w:kern w:val="0"/>
        </w:rPr>
        <w:t>、</w:t>
      </w:r>
      <w:r>
        <w:rPr>
          <w:rFonts w:cs="宋体"/>
          <w:color w:val="0000FF"/>
          <w:kern w:val="0"/>
        </w:rPr>
        <w:t>雨课堂</w:t>
      </w:r>
      <w:r>
        <w:rPr>
          <w:rFonts w:hint="eastAsia" w:cs="宋体"/>
          <w:color w:val="0000FF"/>
          <w:kern w:val="0"/>
        </w:rPr>
        <w:t>、</w:t>
      </w:r>
      <w:r>
        <w:rPr>
          <w:rFonts w:cs="宋体"/>
          <w:color w:val="0000FF"/>
          <w:kern w:val="0"/>
        </w:rPr>
        <w:t>慕课</w:t>
      </w:r>
      <w:r>
        <w:rPr>
          <w:rFonts w:hint="eastAsia" w:cs="宋体"/>
          <w:color w:val="0000FF"/>
          <w:kern w:val="0"/>
        </w:rPr>
        <w:t>堂</w:t>
      </w:r>
      <w:r>
        <w:rPr>
          <w:rFonts w:cs="宋体"/>
          <w:color w:val="0000FF"/>
          <w:kern w:val="0"/>
        </w:rPr>
        <w:t>等）？</w:t>
      </w:r>
    </w:p>
    <w:p w14:paraId="0538F7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hAnsi="宋体" w:cs="宋体"/>
          <w:color w:val="0000FF"/>
          <w:kern w:val="0"/>
        </w:rPr>
      </w:pPr>
      <w:r>
        <w:rPr>
          <w:rFonts w:hint="eastAsia"/>
          <w:color w:val="0000FF"/>
          <w:kern w:val="0"/>
        </w:rPr>
        <w:t>4</w:t>
      </w:r>
      <w:r>
        <w:rPr>
          <w:rFonts w:hint="eastAsia"/>
          <w:color w:val="0000FF"/>
          <w:kern w:val="0"/>
          <w:lang w:val="en-US" w:eastAsia="zh-CN"/>
        </w:rPr>
        <w:t>.</w:t>
      </w:r>
      <w:r>
        <w:rPr>
          <w:rFonts w:hint="eastAsia" w:hAnsi="宋体" w:cs="宋体"/>
          <w:color w:val="0000FF"/>
          <w:kern w:val="0"/>
        </w:rPr>
        <w:t>如何理论联系实际培养学生各方面的能力？</w:t>
      </w:r>
    </w:p>
    <w:p w14:paraId="3807A9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jc w:val="left"/>
        <w:textAlignment w:val="auto"/>
      </w:pPr>
      <w:r>
        <w:rPr>
          <w:rFonts w:hint="eastAsia"/>
          <w:color w:val="0000FF"/>
        </w:rPr>
        <w:t>（空一行）</w:t>
      </w:r>
    </w:p>
    <w:p w14:paraId="4DA238F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八</w:t>
      </w:r>
      <w:r>
        <w:rPr>
          <w:rFonts w:hint="eastAsia" w:ascii="Times New Roman" w:hAnsi="Times New Roman" w:eastAsia="黑体" w:cs="Times New Roman"/>
        </w:rPr>
        <w:t>、推荐教材与参考资料</w:t>
      </w:r>
    </w:p>
    <w:p w14:paraId="27F242F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推荐教材：《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hint="eastAsia" w:ascii="Times New Roman" w:hAnsi="Times New Roman"/>
          <w:sz w:val="21"/>
          <w:szCs w:val="21"/>
        </w:rPr>
        <w:t>》，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编著，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出版社，年。</w:t>
      </w:r>
    </w:p>
    <w:p w14:paraId="13D8EC9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参考书目与文献：《</w:t>
      </w:r>
      <w:r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hint="eastAsia" w:ascii="Times New Roman" w:hAnsi="Times New Roman"/>
          <w:sz w:val="21"/>
          <w:szCs w:val="21"/>
        </w:rPr>
        <w:t>》，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编著，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出版社，年。</w:t>
      </w:r>
    </w:p>
    <w:p w14:paraId="01A2C8A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2100" w:firstLineChars="100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《</w:t>
      </w:r>
      <w:r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hint="eastAsia" w:ascii="Times New Roman" w:hAnsi="Times New Roman"/>
          <w:sz w:val="21"/>
          <w:szCs w:val="21"/>
        </w:rPr>
        <w:t>》，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编著，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出版社，年。</w:t>
      </w:r>
    </w:p>
    <w:p w14:paraId="029D4F5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课程相关主要网站：</w:t>
      </w:r>
    </w:p>
    <w:p w14:paraId="2B78D75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color w:val="0000FF"/>
          <w:sz w:val="21"/>
          <w:szCs w:val="21"/>
        </w:rPr>
      </w:pPr>
      <w:r>
        <w:rPr>
          <w:rFonts w:hint="eastAsia" w:ascii="Times New Roman" w:hAnsi="Times New Roman"/>
          <w:color w:val="0000FF"/>
          <w:sz w:val="21"/>
          <w:szCs w:val="21"/>
        </w:rPr>
        <w:t>注：1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/>
          <w:color w:val="0000FF"/>
          <w:sz w:val="21"/>
          <w:szCs w:val="21"/>
        </w:rPr>
        <w:t>“马工程教材”覆盖课程必须选择对应教材。</w:t>
      </w:r>
    </w:p>
    <w:p w14:paraId="2A06E92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840" w:firstLineChars="400"/>
        <w:textAlignment w:val="auto"/>
        <w:rPr>
          <w:rFonts w:ascii="Times New Roman" w:hAnsi="Times New Roman"/>
          <w:color w:val="0000FF"/>
          <w:sz w:val="21"/>
          <w:szCs w:val="21"/>
        </w:rPr>
      </w:pPr>
      <w:r>
        <w:rPr>
          <w:rFonts w:hint="eastAsia" w:ascii="Times New Roman" w:hAnsi="Times New Roman"/>
          <w:color w:val="0000FF"/>
          <w:sz w:val="21"/>
          <w:szCs w:val="21"/>
        </w:rPr>
        <w:t>2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cs="黑体"/>
          <w:color w:val="0000FF"/>
          <w:sz w:val="21"/>
          <w:szCs w:val="21"/>
        </w:rPr>
        <w:t>优先</w:t>
      </w:r>
      <w:r>
        <w:rPr>
          <w:rFonts w:hint="eastAsia" w:ascii="Times New Roman" w:hAnsi="Times New Roman"/>
          <w:color w:val="0000FF"/>
          <w:sz w:val="21"/>
          <w:szCs w:val="21"/>
        </w:rPr>
        <w:t>推荐近年出版的国家、行业优秀教材、规划教材。</w:t>
      </w:r>
    </w:p>
    <w:p w14:paraId="14FCAD3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840" w:firstLineChars="400"/>
        <w:textAlignment w:val="auto"/>
        <w:rPr>
          <w:rFonts w:ascii="Times New Roman" w:hAnsi="Times New Roman"/>
          <w:color w:val="0000FF"/>
          <w:sz w:val="21"/>
          <w:szCs w:val="21"/>
        </w:rPr>
      </w:pPr>
      <w:r>
        <w:rPr>
          <w:rFonts w:ascii="Times New Roman" w:hAnsi="Times New Roman"/>
          <w:color w:val="0000FF"/>
          <w:sz w:val="21"/>
          <w:szCs w:val="21"/>
        </w:rPr>
        <w:t>3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/>
          <w:color w:val="0000FF"/>
          <w:sz w:val="21"/>
          <w:szCs w:val="21"/>
        </w:rPr>
        <w:t>推荐与课程教学相关的优质专业书籍，以及专业文献资料、数字化资源等专业网站。</w:t>
      </w:r>
    </w:p>
    <w:p w14:paraId="60BB17A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840" w:firstLineChars="400"/>
        <w:textAlignment w:val="auto"/>
        <w:rPr>
          <w:rFonts w:ascii="Times New Roman" w:hAnsi="Times New Roman"/>
          <w:color w:val="0000FF"/>
          <w:sz w:val="21"/>
          <w:szCs w:val="21"/>
        </w:rPr>
      </w:pPr>
      <w:r>
        <w:rPr>
          <w:rFonts w:ascii="Times New Roman" w:hAnsi="Times New Roman"/>
          <w:color w:val="0000FF"/>
          <w:sz w:val="21"/>
          <w:szCs w:val="21"/>
        </w:rPr>
        <w:t>4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/>
          <w:color w:val="0000FF"/>
          <w:sz w:val="21"/>
          <w:szCs w:val="21"/>
        </w:rPr>
        <w:t>专业选修课程、前沿课程、项目化课程等特殊课程，“推荐教材”可据实填“无”、“讲稿”、“自编讲义”等。</w:t>
      </w:r>
    </w:p>
    <w:p w14:paraId="1D9FEAF8"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ascii="Times New Roman" w:hAnsi="Times New Roman" w:cs="Times New Roman"/>
        </w:rPr>
      </w:pPr>
      <w:r>
        <w:rPr>
          <w:rFonts w:hint="eastAsia"/>
          <w:color w:val="0000FF"/>
          <w:sz w:val="21"/>
        </w:rPr>
        <w:t>（空一行）</w:t>
      </w:r>
    </w:p>
    <w:p w14:paraId="5F80D76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eastAsia="黑体"/>
        </w:rPr>
      </w:pPr>
      <w:r>
        <w:rPr>
          <w:rFonts w:hint="eastAsia" w:eastAsia="黑体" w:cs="黑体"/>
          <w:lang w:val="en-US" w:eastAsia="zh-CN"/>
        </w:rPr>
        <w:t>九</w:t>
      </w:r>
      <w:r>
        <w:rPr>
          <w:rFonts w:hint="eastAsia" w:eastAsia="黑体" w:cs="黑体"/>
        </w:rPr>
        <w:t>、其他说明</w:t>
      </w:r>
    </w:p>
    <w:p w14:paraId="45577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说明：</w:t>
      </w:r>
    </w:p>
    <w:p w14:paraId="1BA4A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cs="宋体"/>
          <w:color w:val="0000FF"/>
        </w:rPr>
      </w:pPr>
      <w:r>
        <w:rPr>
          <w:color w:val="0000FF"/>
          <w:kern w:val="0"/>
        </w:rPr>
        <w:t>1</w:t>
      </w:r>
      <w:r>
        <w:rPr>
          <w:rFonts w:hint="eastAsia"/>
          <w:color w:val="0000FF"/>
          <w:kern w:val="0"/>
          <w:lang w:val="en-US" w:eastAsia="zh-CN"/>
        </w:rPr>
        <w:t>.</w:t>
      </w:r>
      <w:r>
        <w:rPr>
          <w:rFonts w:hint="eastAsia" w:cs="宋体"/>
          <w:color w:val="0000FF"/>
        </w:rPr>
        <w:t>课程教学特殊要求、课外学习建议；大纲包含的附件等情况。</w:t>
      </w:r>
    </w:p>
    <w:p w14:paraId="12423D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cs="宋体"/>
          <w:color w:val="0000FF"/>
        </w:rPr>
      </w:pPr>
      <w:r>
        <w:rPr>
          <w:rFonts w:cs="宋体"/>
          <w:color w:val="0000FF"/>
        </w:rPr>
        <w:t>2</w:t>
      </w:r>
      <w:r>
        <w:rPr>
          <w:rFonts w:hint="eastAsia" w:cs="宋体"/>
          <w:color w:val="0000FF"/>
          <w:lang w:val="en-US" w:eastAsia="zh-CN"/>
        </w:rPr>
        <w:t>.</w:t>
      </w:r>
      <w:r>
        <w:rPr>
          <w:rFonts w:hint="eastAsia" w:cs="宋体"/>
          <w:color w:val="0000FF"/>
        </w:rPr>
        <w:t>如</w:t>
      </w:r>
      <w:r>
        <w:rPr>
          <w:rFonts w:hint="eastAsia"/>
          <w:color w:val="0000FF"/>
        </w:rPr>
        <w:t>无说明，则删除该条</w:t>
      </w:r>
      <w:r>
        <w:rPr>
          <w:rFonts w:hint="eastAsia" w:cs="宋体"/>
          <w:color w:val="0000FF"/>
        </w:rPr>
        <w:t>。</w:t>
      </w:r>
    </w:p>
    <w:p w14:paraId="65959107"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</w:t>
      </w:r>
      <w:r>
        <w:rPr>
          <w:rFonts w:hint="eastAsia"/>
          <w:color w:val="0000FF"/>
          <w:sz w:val="21"/>
          <w:lang w:val="en-US" w:eastAsia="zh-CN"/>
        </w:rPr>
        <w:t>两</w:t>
      </w:r>
      <w:r>
        <w:rPr>
          <w:rFonts w:hint="eastAsia"/>
          <w:color w:val="0000FF"/>
          <w:sz w:val="21"/>
        </w:rPr>
        <w:t>行）</w:t>
      </w:r>
    </w:p>
    <w:p w14:paraId="7D8272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both"/>
        <w:textAlignment w:val="auto"/>
        <w:rPr>
          <w:rFonts w:hint="eastAsia"/>
          <w:color w:val="FF0000"/>
          <w:lang w:val="en-US" w:eastAsia="zh-CN"/>
        </w:rPr>
      </w:pPr>
    </w:p>
    <w:p w14:paraId="7697D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both"/>
        <w:textAlignment w:val="auto"/>
        <w:rPr>
          <w:rFonts w:hint="eastAsia"/>
          <w:color w:val="FF0000"/>
          <w:lang w:val="en-US" w:eastAsia="zh-CN"/>
        </w:rPr>
      </w:pPr>
    </w:p>
    <w:p w14:paraId="032AE7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540"/>
        <w:jc w:val="center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大纲制定者：                      大纲审定者：</w:t>
      </w:r>
    </w:p>
    <w:p w14:paraId="20195BC4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 w14:paraId="2A2B4D7E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 w14:paraId="3F495867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 w14:paraId="33879145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 w14:paraId="0BF72FA0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 w14:paraId="401DC98B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 w14:paraId="4DD74019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 w14:paraId="53D099CE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 w14:paraId="6B55B96A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sectPr>
      <w:pgSz w:w="11906" w:h="16838"/>
      <w:pgMar w:top="141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yl" w:date="2024-02-02T09:44:53Z" w:initials="l">
    <w:p w14:paraId="1068218C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页面大小采用上下2.5，左2.8，右2.6；模版字体使用黑体五号；填入字体使用宋体5号</w:t>
      </w:r>
    </w:p>
    <w:p w14:paraId="15587A42">
      <w:pPr>
        <w:pStyle w:val="5"/>
        <w:rPr>
          <w:rFonts w:hint="default"/>
          <w:lang w:val="en-US" w:eastAsia="zh-CN"/>
        </w:rPr>
      </w:pPr>
    </w:p>
  </w:comment>
  <w:comment w:id="1" w:author="lyl" w:date="2024-02-02T09:46:04Z" w:initials="l">
    <w:p w14:paraId="480B0656">
      <w:pPr>
        <w:pStyle w:val="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知识目标、能力目标、素质目标顶格</w:t>
      </w:r>
    </w:p>
  </w:comment>
  <w:comment w:id="2" w:author="lyl" w:date="2024-02-02T09:49:07Z" w:initials="l">
    <w:p w14:paraId="5B15728D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教学内容正文部分都采用宋体五号，如果是英文的如英语专业都采用新罗马五号字体</w:t>
      </w:r>
    </w:p>
  </w:comment>
  <w:comment w:id="3" w:author="lyl" w:date="2024-02-02T09:49:59Z" w:initials="l">
    <w:p w14:paraId="4D890486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标题行重复，居中，宋体五号；</w:t>
      </w:r>
    </w:p>
  </w:comment>
  <w:comment w:id="4" w:author="lyl" w:date="2024-02-02T09:51:04Z" w:initials="l">
    <w:p w14:paraId="2E20172E">
      <w:pPr>
        <w:pStyle w:val="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说明文字，标题行重复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5587A42" w15:done="0"/>
  <w15:commentEx w15:paraId="480B0656" w15:done="0"/>
  <w15:commentEx w15:paraId="5B15728D" w15:done="0"/>
  <w15:commentEx w15:paraId="4D890486" w15:done="0"/>
  <w15:commentEx w15:paraId="2E20172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yl">
    <w15:presenceInfo w15:providerId="None" w15:userId="ly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ODEzMzg5ZmUyMDJlYzgxYzA3MTk5NTYwYzA2ODAifQ=="/>
  </w:docVars>
  <w:rsids>
    <w:rsidRoot w:val="000243DC"/>
    <w:rsid w:val="00003C9B"/>
    <w:rsid w:val="00013E75"/>
    <w:rsid w:val="00021CC0"/>
    <w:rsid w:val="000243DC"/>
    <w:rsid w:val="00044401"/>
    <w:rsid w:val="0005225F"/>
    <w:rsid w:val="000522AB"/>
    <w:rsid w:val="000556B0"/>
    <w:rsid w:val="000857C8"/>
    <w:rsid w:val="000A3EF9"/>
    <w:rsid w:val="000B5EE3"/>
    <w:rsid w:val="00105518"/>
    <w:rsid w:val="00117896"/>
    <w:rsid w:val="001266E2"/>
    <w:rsid w:val="0015203C"/>
    <w:rsid w:val="001814F4"/>
    <w:rsid w:val="00181D04"/>
    <w:rsid w:val="001C7B70"/>
    <w:rsid w:val="001D27F6"/>
    <w:rsid w:val="001E2E02"/>
    <w:rsid w:val="001F347B"/>
    <w:rsid w:val="00215F07"/>
    <w:rsid w:val="00222998"/>
    <w:rsid w:val="002350C5"/>
    <w:rsid w:val="002435B1"/>
    <w:rsid w:val="002523E0"/>
    <w:rsid w:val="002722EA"/>
    <w:rsid w:val="002802C5"/>
    <w:rsid w:val="00285121"/>
    <w:rsid w:val="002A3851"/>
    <w:rsid w:val="002B6178"/>
    <w:rsid w:val="002D1B9F"/>
    <w:rsid w:val="003022EE"/>
    <w:rsid w:val="00307BE9"/>
    <w:rsid w:val="00315377"/>
    <w:rsid w:val="00330EB5"/>
    <w:rsid w:val="00336CE0"/>
    <w:rsid w:val="00340A33"/>
    <w:rsid w:val="00343E8E"/>
    <w:rsid w:val="003566B8"/>
    <w:rsid w:val="00375CEF"/>
    <w:rsid w:val="00390611"/>
    <w:rsid w:val="003A1E81"/>
    <w:rsid w:val="003A6856"/>
    <w:rsid w:val="003B4AE6"/>
    <w:rsid w:val="003D4A86"/>
    <w:rsid w:val="003E2D9A"/>
    <w:rsid w:val="003E5680"/>
    <w:rsid w:val="00400CBA"/>
    <w:rsid w:val="004035B6"/>
    <w:rsid w:val="004158C7"/>
    <w:rsid w:val="00464CF5"/>
    <w:rsid w:val="00475909"/>
    <w:rsid w:val="004806B1"/>
    <w:rsid w:val="0049633F"/>
    <w:rsid w:val="004C139D"/>
    <w:rsid w:val="0051283C"/>
    <w:rsid w:val="0054478B"/>
    <w:rsid w:val="00570B7B"/>
    <w:rsid w:val="00577975"/>
    <w:rsid w:val="00582315"/>
    <w:rsid w:val="0058563B"/>
    <w:rsid w:val="00597D17"/>
    <w:rsid w:val="005B215E"/>
    <w:rsid w:val="005C196F"/>
    <w:rsid w:val="005E4EAD"/>
    <w:rsid w:val="005E6DFF"/>
    <w:rsid w:val="006046BB"/>
    <w:rsid w:val="00604B43"/>
    <w:rsid w:val="00622251"/>
    <w:rsid w:val="006361D6"/>
    <w:rsid w:val="00661BD2"/>
    <w:rsid w:val="006822D7"/>
    <w:rsid w:val="006A20FC"/>
    <w:rsid w:val="006A5B8B"/>
    <w:rsid w:val="006A6FD9"/>
    <w:rsid w:val="006A7F18"/>
    <w:rsid w:val="006D103C"/>
    <w:rsid w:val="006D6980"/>
    <w:rsid w:val="006E5D8A"/>
    <w:rsid w:val="007026E9"/>
    <w:rsid w:val="00703EFC"/>
    <w:rsid w:val="00787E34"/>
    <w:rsid w:val="007977EB"/>
    <w:rsid w:val="007B6140"/>
    <w:rsid w:val="007C5A84"/>
    <w:rsid w:val="007C7BBC"/>
    <w:rsid w:val="007E5EFD"/>
    <w:rsid w:val="007F04F9"/>
    <w:rsid w:val="007F3FB6"/>
    <w:rsid w:val="0080095D"/>
    <w:rsid w:val="0080749F"/>
    <w:rsid w:val="00816EC7"/>
    <w:rsid w:val="008238A6"/>
    <w:rsid w:val="00850474"/>
    <w:rsid w:val="008557AE"/>
    <w:rsid w:val="00892BA9"/>
    <w:rsid w:val="008A6DF7"/>
    <w:rsid w:val="008B30E2"/>
    <w:rsid w:val="008D7D77"/>
    <w:rsid w:val="008E67A3"/>
    <w:rsid w:val="008F2728"/>
    <w:rsid w:val="008F347F"/>
    <w:rsid w:val="008F56F8"/>
    <w:rsid w:val="0091107D"/>
    <w:rsid w:val="00922712"/>
    <w:rsid w:val="009353EC"/>
    <w:rsid w:val="009457B9"/>
    <w:rsid w:val="00952496"/>
    <w:rsid w:val="009561CA"/>
    <w:rsid w:val="009843D3"/>
    <w:rsid w:val="00990A0C"/>
    <w:rsid w:val="009C748C"/>
    <w:rsid w:val="009D14BE"/>
    <w:rsid w:val="009F42C2"/>
    <w:rsid w:val="009F5C48"/>
    <w:rsid w:val="00A22A29"/>
    <w:rsid w:val="00A61792"/>
    <w:rsid w:val="00A72931"/>
    <w:rsid w:val="00A7724C"/>
    <w:rsid w:val="00AB19C5"/>
    <w:rsid w:val="00AC5C3F"/>
    <w:rsid w:val="00AD4BB9"/>
    <w:rsid w:val="00B06C95"/>
    <w:rsid w:val="00B212F1"/>
    <w:rsid w:val="00B278C2"/>
    <w:rsid w:val="00B365F1"/>
    <w:rsid w:val="00B47B6C"/>
    <w:rsid w:val="00B75039"/>
    <w:rsid w:val="00B96D55"/>
    <w:rsid w:val="00BB6107"/>
    <w:rsid w:val="00BD1D8D"/>
    <w:rsid w:val="00BF589D"/>
    <w:rsid w:val="00C0471C"/>
    <w:rsid w:val="00C0748F"/>
    <w:rsid w:val="00C140AC"/>
    <w:rsid w:val="00C24BE9"/>
    <w:rsid w:val="00C46CB9"/>
    <w:rsid w:val="00C73740"/>
    <w:rsid w:val="00C95AD0"/>
    <w:rsid w:val="00D333DA"/>
    <w:rsid w:val="00D34160"/>
    <w:rsid w:val="00D53D77"/>
    <w:rsid w:val="00D6130B"/>
    <w:rsid w:val="00DA1092"/>
    <w:rsid w:val="00DE1E91"/>
    <w:rsid w:val="00E07C5E"/>
    <w:rsid w:val="00E138CE"/>
    <w:rsid w:val="00E27057"/>
    <w:rsid w:val="00E45EEB"/>
    <w:rsid w:val="00E51845"/>
    <w:rsid w:val="00E62D09"/>
    <w:rsid w:val="00E94FF9"/>
    <w:rsid w:val="00E9595E"/>
    <w:rsid w:val="00EA0CD3"/>
    <w:rsid w:val="00EA2DB1"/>
    <w:rsid w:val="00EB50D4"/>
    <w:rsid w:val="00EF2778"/>
    <w:rsid w:val="00EF6DBC"/>
    <w:rsid w:val="00F04602"/>
    <w:rsid w:val="00F12024"/>
    <w:rsid w:val="00F12CC1"/>
    <w:rsid w:val="00F13CAB"/>
    <w:rsid w:val="00F2719A"/>
    <w:rsid w:val="00F37F0C"/>
    <w:rsid w:val="00F41507"/>
    <w:rsid w:val="00F55F53"/>
    <w:rsid w:val="00F80C96"/>
    <w:rsid w:val="00F91F2B"/>
    <w:rsid w:val="00F95F7E"/>
    <w:rsid w:val="00FA797C"/>
    <w:rsid w:val="00FB1AAE"/>
    <w:rsid w:val="00FC60FD"/>
    <w:rsid w:val="00FD27B3"/>
    <w:rsid w:val="023A4BC6"/>
    <w:rsid w:val="028A16BA"/>
    <w:rsid w:val="03816936"/>
    <w:rsid w:val="03DE36E5"/>
    <w:rsid w:val="05107EB1"/>
    <w:rsid w:val="0C5D2CAC"/>
    <w:rsid w:val="0D4B7A43"/>
    <w:rsid w:val="0D647FDB"/>
    <w:rsid w:val="0D6900C0"/>
    <w:rsid w:val="122F1741"/>
    <w:rsid w:val="14ED48E4"/>
    <w:rsid w:val="153D5B3D"/>
    <w:rsid w:val="15586BDA"/>
    <w:rsid w:val="16053E82"/>
    <w:rsid w:val="1A7D3151"/>
    <w:rsid w:val="1ECE5E00"/>
    <w:rsid w:val="1FBA32A0"/>
    <w:rsid w:val="20982D97"/>
    <w:rsid w:val="210A005A"/>
    <w:rsid w:val="245B5374"/>
    <w:rsid w:val="24752525"/>
    <w:rsid w:val="27E57AB7"/>
    <w:rsid w:val="290A7517"/>
    <w:rsid w:val="298802A7"/>
    <w:rsid w:val="2A7D1832"/>
    <w:rsid w:val="2B094D36"/>
    <w:rsid w:val="2C7E79F0"/>
    <w:rsid w:val="2CF924B1"/>
    <w:rsid w:val="2DCF06A3"/>
    <w:rsid w:val="3B335E6C"/>
    <w:rsid w:val="3FAF3C70"/>
    <w:rsid w:val="431E0714"/>
    <w:rsid w:val="44D95902"/>
    <w:rsid w:val="44EA0A76"/>
    <w:rsid w:val="47BB6159"/>
    <w:rsid w:val="47D6029C"/>
    <w:rsid w:val="480849B3"/>
    <w:rsid w:val="4C7A575B"/>
    <w:rsid w:val="4E1F46AE"/>
    <w:rsid w:val="4E3245C8"/>
    <w:rsid w:val="4EA11301"/>
    <w:rsid w:val="5A897836"/>
    <w:rsid w:val="5AC85F03"/>
    <w:rsid w:val="5B024270"/>
    <w:rsid w:val="5B3F7D02"/>
    <w:rsid w:val="5DAA243D"/>
    <w:rsid w:val="5DD12BC0"/>
    <w:rsid w:val="5DFD4EF7"/>
    <w:rsid w:val="5EC73B9A"/>
    <w:rsid w:val="62957CD6"/>
    <w:rsid w:val="629D32F4"/>
    <w:rsid w:val="62E80101"/>
    <w:rsid w:val="62EA49F7"/>
    <w:rsid w:val="660E08C7"/>
    <w:rsid w:val="68D93F64"/>
    <w:rsid w:val="6F3673F5"/>
    <w:rsid w:val="6F6447C8"/>
    <w:rsid w:val="70D40FCC"/>
    <w:rsid w:val="72AE2E25"/>
    <w:rsid w:val="762D481D"/>
    <w:rsid w:val="789D7C08"/>
    <w:rsid w:val="79346479"/>
    <w:rsid w:val="7AAD7D52"/>
    <w:rsid w:val="7AC676A0"/>
    <w:rsid w:val="7DD57971"/>
    <w:rsid w:val="7FD3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99"/>
    <w:pPr>
      <w:spacing w:after="120"/>
      <w:ind w:left="420" w:leftChars="200"/>
    </w:pPr>
    <w:rPr>
      <w:rFonts w:ascii="华文中宋" w:hAnsi="宋体" w:eastAsia="华文中宋"/>
      <w:color w:val="000000"/>
      <w:sz w:val="24"/>
      <w:szCs w:val="24"/>
    </w:rPr>
  </w:style>
  <w:style w:type="paragraph" w:styleId="5">
    <w:name w:val="annotation text"/>
    <w:basedOn w:val="1"/>
    <w:link w:val="20"/>
    <w:autoRedefine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link w:val="19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5"/>
    <w:next w:val="5"/>
    <w:link w:val="23"/>
    <w:autoRedefine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annotation reference"/>
    <w:autoRedefine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6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18">
    <w:name w:val="标题 1 字符"/>
    <w:basedOn w:val="13"/>
    <w:link w:val="4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普通(网站) 字符"/>
    <w:link w:val="9"/>
    <w:autoRedefine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批注文字 字符"/>
    <w:basedOn w:val="13"/>
    <w:link w:val="5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21">
    <w:name w:val="批注框文本 字符"/>
    <w:basedOn w:val="13"/>
    <w:link w:val="6"/>
    <w:autoRedefine/>
    <w:semiHidden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3">
    <w:name w:val="批注主题 字符"/>
    <w:basedOn w:val="20"/>
    <w:link w:val="10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paragraph" w:styleId="24">
    <w:name w:val="No Spacing"/>
    <w:autoRedefine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table" w:customStyle="1" w:styleId="2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p0"/>
    <w:basedOn w:val="1"/>
    <w:autoRedefine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4673</Words>
  <Characters>4933</Characters>
  <Lines>14</Lines>
  <Paragraphs>3</Paragraphs>
  <TotalTime>1</TotalTime>
  <ScaleCrop>false</ScaleCrop>
  <LinksUpToDate>false</LinksUpToDate>
  <CharactersWithSpaces>4980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2021-06-30T02:02:00Z</dcterms:created>
  <dc:creator>zy zhu</dc:creator>
  <cp:lastModifiedBy>lyl</cp:lastModifiedBy>
  <cp:lastPrinted>2024-02-20T07:26:00Z</cp:lastPrinted>
  <dcterms:modified xsi:type="dcterms:W3CDTF">2024-08-29T07:53:40Z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B0A523D7AC8B44D69E515FDF9A4AFF2D_12</vt:lpwstr>
  </property>
</Properties>
</file>