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1BD4C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方正小标宋简体" w:hAnsi="方正小标宋简体" w:eastAsia="方正小标宋简体" w:cs="方正小标宋简体"/>
          <w:sz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highlight w:val="none"/>
        </w:rPr>
        <w:t>南宁理工学院</w:t>
      </w:r>
    </w:p>
    <w:p w14:paraId="24B18E47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highlight w:val="none"/>
        </w:rPr>
        <w:t>课程教学大纲管理办法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  <w:lang w:eastAsia="zh-CN"/>
        </w:rPr>
        <w:t>）</w:t>
      </w:r>
    </w:p>
    <w:p w14:paraId="2F33A482">
      <w:pPr>
        <w:rPr>
          <w:highlight w:val="none"/>
        </w:rPr>
      </w:pPr>
    </w:p>
    <w:p w14:paraId="026E546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第一章 总则</w:t>
      </w:r>
    </w:p>
    <w:p w14:paraId="6B1EA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</w:rPr>
        <w:t>第一条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 xml:space="preserve"> 为贯彻落实全国教育大会、新时代全国高等学校本科教育工作会议精神，规范和优化课程教学大纲的制定与管理，充分发挥课程教学在人才培养过程中的基础性支撑作用，根据《深化新时代教育评价改革总体方案》《普通高等学校本科专业类教学质量国家标准》等相关文件要求，结合学校实际，制定本办法。</w:t>
      </w:r>
    </w:p>
    <w:p w14:paraId="524EBB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  <w:u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</w:rPr>
        <w:t xml:space="preserve">第二条 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课程教学大纲是落实专业人才培养方案、支撑培养目标和毕业要求达成的教学指导性文件，不仅是选用或编写教材、指导教师备课、上课和进行课程考核的依据，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u w:val="none"/>
        </w:rPr>
        <w:t>也是进行课程目标达成情况评价、课程建设和教学管理的重要参考，其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制（修）订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u w:val="none"/>
        </w:rPr>
        <w:t>与管理必须按照严格的规范和程序进行。</w:t>
      </w:r>
    </w:p>
    <w:p w14:paraId="721158D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第二章 组织与职责</w:t>
      </w:r>
    </w:p>
    <w:p w14:paraId="3EE65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</w:rPr>
        <w:t>第三条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 xml:space="preserve"> 教务处是制（修）订课程教学大纲的统筹管理单位，负责协助、指导教学单位制（修）订课程教学大纲，对需要统一的部分做出明确规定，协调通识教育课程、学科专业基础课程和专业课程之间的关系，确保制（修）订工作顺利进行并达到质量标准。负责备案教学单位制定的课程教学大纲，检查、督导课程教学大纲执行情况，受理课程教学大纲变更申请。</w:t>
      </w:r>
    </w:p>
    <w:p w14:paraId="27B19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</w:rPr>
        <w:t>第四条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 xml:space="preserve"> 教学单位是制（修）订课程教学大纲管理的主体，负责根据学校课程教学大纲模板和要求，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u w:val="none"/>
        </w:rPr>
        <w:t>组织本单位承担的课程（包括专升本课程、辅修专业（学位）课程、公共选修课程）的教学大纲制订工作，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由教学单位组织有关教研室、课程负责人制（修）订课程教学大纲草案，提交教研室集体讨论和修订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eastAsia="zh-CN"/>
        </w:rPr>
        <w:t>，经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教研室主任审查同意签字初审后，由开课单位组织专家论证、审定。</w:t>
      </w:r>
    </w:p>
    <w:p w14:paraId="23E29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  <w:u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</w:rPr>
        <w:t>第五条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  授课教师是执行课程教学大纲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val="en-US" w:eastAsia="zh-CN"/>
        </w:rPr>
        <w:t>执行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责任人。在组织备课和实施课程教学前，应认真研究所讲授课程的教学大纲，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u w:val="none"/>
        </w:rPr>
        <w:t>明确课程教学目标及其对专业毕业要求具体指标点的支撑关系，并据此进行教学内容的整合与重组、教学设计和方法的选择；课程考核内容和评价方法应覆盖课程教学大纲的主要内容，并能证明课程教学效果对毕业要求指标点形成了支撑。</w:t>
      </w:r>
    </w:p>
    <w:p w14:paraId="5367679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第三章 制（修）订与审核</w:t>
      </w:r>
    </w:p>
    <w:p w14:paraId="0C7D7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</w:rPr>
        <w:t>第六条 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各门课程的教学大纲均应服从人才培养方案中课程结构</w:t>
      </w:r>
      <w:bookmarkEnd w:id="0"/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的整体要求，对适用于同一层次专业开设的同一门课程，教学要求相同的，应编写一个共用大纲，但要作出说明。对教学要求不同的课程，应分别制订大纲。课程教学大纲制（修）订要求应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val="en-US" w:eastAsia="zh-CN"/>
        </w:rPr>
        <w:t>遵循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以下四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val="en-US" w:eastAsia="zh-CN"/>
        </w:rPr>
        <w:t>个原则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：</w:t>
      </w:r>
    </w:p>
    <w:p w14:paraId="7D4D3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（一）同步性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val="en-US" w:eastAsia="zh-CN"/>
        </w:rPr>
        <w:t>原则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。课程教学大纲原则上与人才培养方案同步制（修）订，各专业人才培养方案所列的所有理论课程、实验（实践）课程（含课内）、集中实践教学环节，均须制定课程教学大纲。</w:t>
      </w:r>
    </w:p>
    <w:p w14:paraId="4932E6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（二）产出性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val="en-US" w:eastAsia="zh-CN"/>
        </w:rPr>
        <w:t>原则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。建立基于产出导向的课程教学大纲，使课程目标既能有效支撑毕业要求达成，课程内容和教学方法能够支撑课程目标的达成，课程考核与成绩评定方式能够证明课程目标的达成。课程教学大纲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val="en-US" w:eastAsia="zh-CN"/>
        </w:rPr>
        <w:t>完成时间不得晚于开课前学期。</w:t>
      </w:r>
    </w:p>
    <w:p w14:paraId="4877E6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（三）科学性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val="en-US" w:eastAsia="zh-CN"/>
        </w:rPr>
        <w:t>原则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。在制（修）订课程教学大纲前，要加强研究、充分研讨，使课程教学大纲既符合教学规律，又满足社会发展对专业人才培养的知识、能力需求，增强课程教学大纲的科学性。</w:t>
      </w:r>
    </w:p>
    <w:p w14:paraId="25896B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（四）规范性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val="en-US" w:eastAsia="zh-CN"/>
        </w:rPr>
        <w:t>原则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。课程教学大纲要求文字清楚、意义明确、名词术语和格式规范、定义正确，按专业汇编成册。</w:t>
      </w:r>
    </w:p>
    <w:p w14:paraId="06DB6F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  <w:lang w:eastAsia="zh-CN"/>
        </w:rPr>
        <w:t>第七条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</w:rPr>
        <w:t xml:space="preserve">  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制（修）订与审核程序</w:t>
      </w:r>
    </w:p>
    <w:p w14:paraId="1CE13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（一）人才培养方案定稿后，教学单位（二级学院）成立由院长任组长的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eastAsia="zh-CN"/>
        </w:rPr>
        <w:t>课程教学大纲编制工作组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，组织制（修）订培养方案中所列专业教育课程和综合实践课程的课程教学大纲。教务处统筹安排制（修）订公共课程的课程教学大纲。</w:t>
      </w:r>
    </w:p>
    <w:p w14:paraId="0DF92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（二）专业负责人、教研室主任组织课程负责人，编制所承担的专业课程的课程教学大纲，充分论证课程目标、课程目标与毕业要求指标点的支撑关系等内容，由课程负责人执笔制订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u w:val="none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涉及跨教学单位的专业课程，专业负责人、教研室主任组织相关任课教师参与，以满足课程目标和教学内容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eastAsia="zh-CN"/>
        </w:rPr>
        <w:t>能够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达到对本专业人才培养方案中毕业要求指标点支撑的要求。公共课程的课程目标由公共课程教研室主任组织教师制（修）订，原则上公共课程的课程目标全校统一，其与各专业毕业要求指标点的支撑关系由专业负责人、教研室主任和公共课程教研室主任组织教师共同设定。</w:t>
      </w:r>
    </w:p>
    <w:p w14:paraId="151946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（三）课程教学大纲审核程序。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val="en-US" w:eastAsia="zh-CN"/>
        </w:rPr>
        <w:t>由专业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负责人初审，教研室主任组织进行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val="en-US" w:eastAsia="zh-CN"/>
        </w:rPr>
        <w:t>复审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，各教学单位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eastAsia="zh-CN"/>
        </w:rPr>
        <w:t>课程教学大纲编制工作组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组长审定签字并加盖单位公章报教务处备案后执行。</w:t>
      </w:r>
    </w:p>
    <w:p w14:paraId="311272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  <w:lang w:eastAsia="zh-CN"/>
        </w:rPr>
        <w:t>第八条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</w:rPr>
        <w:t> 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教学单位应根据人才培养方案调整、专业发展及教学改革需要适时修订课程教学大纲，课程教学大纲的修订要求与课程教学大纲制订的要求相同。</w:t>
      </w:r>
    </w:p>
    <w:p w14:paraId="58BAA4E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第四章 实施和检查</w:t>
      </w:r>
    </w:p>
    <w:p w14:paraId="5F7989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  <w:lang w:eastAsia="zh-CN"/>
        </w:rPr>
        <w:t>第九条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 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u w:val="none"/>
        </w:rPr>
        <w:t>课程教学大纲的制（修）订应当认真研究人才培养目标要求，结合课程的教材、参考资料，把握本课程的内容体系，并根据其内容体系具体制（修）订课程教学大纲。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课程教学大纲一经确定，不得随意变更修改，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lang w:val="en-US" w:eastAsia="zh-CN"/>
        </w:rPr>
        <w:t>授课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教师必须根据课程教学大纲开展本课程的教学，各教学单位应认真组织和检查其执行情况。</w:t>
      </w:r>
    </w:p>
    <w:p w14:paraId="73C55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  <w:lang w:eastAsia="zh-CN"/>
        </w:rPr>
        <w:t>第十条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</w:rPr>
        <w:t> 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教务处和教学单位应对课程教学大纲的执行情况组织必要的检查，发现问题及时解决；执行中遇到问题需及时向教研室主任、教学单位负责人和教务处报告，研究妥善解决的途径和办法。</w:t>
      </w:r>
    </w:p>
    <w:p w14:paraId="1AB4C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  <w:lang w:eastAsia="zh-CN"/>
        </w:rPr>
        <w:t>第十一条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</w:rPr>
        <w:t> 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课程教学大纲执行过程中和课程结束后，各教学单位应广泛听取教师、学生、实验技术人员、实习指导人员及本院毕业生、用人单位对课程教学内容、教学环节、教学进度及教学方法等方面的意见，收集各种信息进行分析研究，对课程教学大纲作出客观评价并及时调控教学过程。</w:t>
      </w:r>
    </w:p>
    <w:p w14:paraId="015D026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第五章 基本内容及格式</w:t>
      </w:r>
    </w:p>
    <w:p w14:paraId="178208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  <w:lang w:eastAsia="zh-CN"/>
        </w:rPr>
        <w:t>第十二条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 课程教学大纲依据不同课程类型分类编制，分为理论课程、实验教学课程（含课内）、实习实训类实践课程、毕业设计课程教学大纲、劳动教育大纲，课程教学大纲的基本内容主要有：</w:t>
      </w:r>
    </w:p>
    <w:p w14:paraId="73E24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（一）课程信息</w:t>
      </w:r>
    </w:p>
    <w:p w14:paraId="61554D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（二）课程简介</w:t>
      </w:r>
    </w:p>
    <w:p w14:paraId="7C54AE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（三）课程目标及与毕业要求的对应关系</w:t>
      </w:r>
    </w:p>
    <w:p w14:paraId="787AA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（四）教学内容</w:t>
      </w:r>
    </w:p>
    <w:p w14:paraId="1E576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（五）课内实践教学环节</w:t>
      </w:r>
    </w:p>
    <w:p w14:paraId="205BC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（六）学时分配</w:t>
      </w:r>
    </w:p>
    <w:p w14:paraId="34043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（七）考核及成绩评定方式</w:t>
      </w:r>
    </w:p>
    <w:p w14:paraId="5539D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（八）教学实施建议</w:t>
      </w:r>
    </w:p>
    <w:p w14:paraId="71CA8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（九）推荐教材与参考资料</w:t>
      </w:r>
    </w:p>
    <w:p w14:paraId="48220F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（十）课程达成度评价</w:t>
      </w:r>
    </w:p>
    <w:p w14:paraId="57791A6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 xml:space="preserve">第六章 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附则</w:t>
      </w:r>
    </w:p>
    <w:p w14:paraId="74A3E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方正仿宋简体" w:hAnsi="方正仿宋简体" w:eastAsia="方正仿宋简体" w:cs="方正仿宋简体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  <w:lang w:eastAsia="zh-CN"/>
        </w:rPr>
        <w:t>第十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  <w:lang w:eastAsia="zh-CN"/>
        </w:rPr>
        <w:t>条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none"/>
        </w:rPr>
        <w:t> </w:t>
      </w:r>
      <w:r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  <w:t>本办法由教务处负责解释。</w:t>
      </w:r>
    </w:p>
    <w:p w14:paraId="6D2C07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24"/>
          <w:szCs w:val="32"/>
          <w:highlight w:val="none"/>
        </w:rPr>
      </w:pPr>
    </w:p>
    <w:p w14:paraId="01C94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5CD424-D66D-4096-A768-80A3ADBCB9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7C61872-145B-49BA-ABEF-667D02DE8D5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607CE7-E2D9-4EC3-AED5-B7DD1AB638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ODEzMzg5ZmUyMDJlYzgxYzA3MTk5NTYwYzA2ODAifQ=="/>
  </w:docVars>
  <w:rsids>
    <w:rsidRoot w:val="5A204852"/>
    <w:rsid w:val="00277E3E"/>
    <w:rsid w:val="006E3F94"/>
    <w:rsid w:val="00D95FC3"/>
    <w:rsid w:val="00F35576"/>
    <w:rsid w:val="075538D6"/>
    <w:rsid w:val="09AD082A"/>
    <w:rsid w:val="0B806B3F"/>
    <w:rsid w:val="182D7DBF"/>
    <w:rsid w:val="1D405A81"/>
    <w:rsid w:val="1EA800AB"/>
    <w:rsid w:val="1F337E1C"/>
    <w:rsid w:val="24104433"/>
    <w:rsid w:val="366F6668"/>
    <w:rsid w:val="3DF320F3"/>
    <w:rsid w:val="46D479E0"/>
    <w:rsid w:val="4B73193A"/>
    <w:rsid w:val="4C6742BC"/>
    <w:rsid w:val="4D852316"/>
    <w:rsid w:val="4E7A2683"/>
    <w:rsid w:val="53D158E5"/>
    <w:rsid w:val="54D06EC9"/>
    <w:rsid w:val="57E55C49"/>
    <w:rsid w:val="5989093A"/>
    <w:rsid w:val="5A204852"/>
    <w:rsid w:val="5D3374E5"/>
    <w:rsid w:val="5DCF19CB"/>
    <w:rsid w:val="60050625"/>
    <w:rsid w:val="61AB7E9F"/>
    <w:rsid w:val="62AE5934"/>
    <w:rsid w:val="674D0A60"/>
    <w:rsid w:val="68292B0C"/>
    <w:rsid w:val="6B6D1687"/>
    <w:rsid w:val="6D667B04"/>
    <w:rsid w:val="794C38BE"/>
    <w:rsid w:val="7E96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3"/>
    <w:basedOn w:val="1"/>
    <w:next w:val="1"/>
    <w:qFormat/>
    <w:uiPriority w:val="9"/>
    <w:pPr>
      <w:jc w:val="center"/>
      <w:outlineLvl w:val="2"/>
    </w:pPr>
    <w:rPr>
      <w:rFonts w:eastAsia="宋体"/>
      <w:b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f12e9f18-ce85-43c3-9ab1-6efd090c23aa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27B19443</paraID>
      <start>67</start>
      <end>68</end>
      <status>ignored</status>
      <modifiedWord/>
      <trackRevisions>false</trackRevisions>
    </reviewItem>
    <reviewItem>
      <errorID>57ae156c-431b-44e8-b388-67a892d668ce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27B19443</paraID>
      <start>70</start>
      <end>71</end>
      <status>ignored</status>
      <modifiedWord/>
      <trackRevisions>false</trackRevisions>
    </reviewItem>
    <reviewItem>
      <errorID>367a2381-aea2-452e-a802-354c0559fd7e</errorID>
      <errorWord>变更修改</errorWord>
      <group>L1_Grammar</group>
      <groupName>语法问题</groupName>
      <ability>L2_Grammar</ability>
      <abilityName>语法错误</abilityName>
      <candidateList>
        <item>变更</item>
      </candidateList>
      <explain/>
      <paraID>5F7989CC</paraID>
      <start>92</start>
      <end>96</end>
      <status>ignored</status>
      <modifiedWord/>
      <trackRevisions>false</trackRevisions>
    </reviewItem>
    <reviewItem>
      <errorID>14fb25c9-271a-458b-a9db-807a1f7e225b</errorID>
      <errorWord>第十一条</errorWord>
      <group>L1_Format</group>
      <groupName>格式问题</groupName>
      <ability>L2_Ordinal</ability>
      <abilityName>序号格式</abilityName>
      <candidateList>
        <item>第十条</item>
      </candidateList>
      <explain>标题顺序错误，请检查标题顺序是否合理。</explain>
      <paraID>73C55080</paraID>
      <start>0</start>
      <end>3</end>
      <status>modified</status>
      <modifiedWord>第十条</modifiedWord>
      <trackRevisions>false</trackRevisions>
    </reviewItem>
    <reviewItem>
      <errorID>4980ae76-29ed-4bd6-9034-27768aa3ffb6</errorID>
      <errorWord>第十二条</errorWord>
      <group>L1_Format</group>
      <groupName>格式问题</groupName>
      <ability>L2_Ordinal</ability>
      <abilityName>序号格式</abilityName>
      <candidateList>
        <item>第十一条</item>
      </candidateList>
      <explain>标题顺序错误，请检查标题顺序是否合理。</explain>
      <paraID>1AB4C506</paraID>
      <start>0</start>
      <end>4</end>
      <status>modified</status>
      <modifiedWord>第十一条</modifiedWord>
      <trackRevisions>false</trackRevisions>
    </reviewItem>
    <reviewItem>
      <errorID>fb56b0b5-85a2-4f78-9d14-145dea09237b</errorID>
      <errorWord>第十三条</errorWord>
      <group>L1_Format</group>
      <groupName>格式问题</groupName>
      <ability>L2_Ordinal</ability>
      <abilityName>序号格式</abilityName>
      <candidateList>
        <item>第十二条</item>
      </candidateList>
      <explain>标题顺序错误，请检查标题顺序是否合理。</explain>
      <paraID>1782089B</paraID>
      <start>0</start>
      <end>4</end>
      <status>modified</status>
      <modifiedWord>第十二条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c906fd7-2612-4629-a6f9-ec8eeec0cc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2315</Words>
  <Characters>2315</Characters>
  <Lines>18</Lines>
  <Paragraphs>5</Paragraphs>
  <TotalTime>25</TotalTime>
  <ScaleCrop>false</ScaleCrop>
  <LinksUpToDate>false</LinksUpToDate>
  <CharactersWithSpaces>2336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2026-04-26T01:36:00Z</dcterms:created>
  <dc:creator>lyl</dc:creator>
  <cp:lastModifiedBy>精灵</cp:lastModifiedBy>
  <cp:lastPrinted>2026-04-27T02:41:00Z</cp:lastPrinted>
  <dcterms:modified xsi:type="dcterms:W3CDTF">2026-04-28T02:20:33Z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5D65211BC7A149298ACE80361C7B2755_13</vt:lpwstr>
  </property>
  <property fmtid="{D5CDD505-2E9C-101B-9397-08002B2CF9AE}" pid="4" name="KSOTemplateDocerSaveRecord">
    <vt:lpwstr>eyJoZGlkIjoiMzU4YTY3NTFkZDc4OTc3YzhhODc1OGM2YTQyNmFmZmYiLCJ1c2VySWQiOiIyNTkyMTEzOTUifQ==</vt:lpwstr>
  </property>
</Properties>
</file>