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94E04">
      <w:pPr>
        <w:keepNext w:val="0"/>
        <w:keepLines w:val="0"/>
        <w:pageBreakBefore w:val="0"/>
        <w:widowControl w:val="0"/>
        <w:kinsoku/>
        <w:wordWrap/>
        <w:overflowPunct/>
        <w:topLinePunct w:val="0"/>
        <w:autoSpaceDE/>
        <w:autoSpaceDN/>
        <w:bidi w:val="0"/>
        <w:adjustRightInd/>
        <w:snapToGrid w:val="0"/>
        <w:spacing w:line="360" w:lineRule="auto"/>
        <w:ind w:left="0" w:firstLine="0" w:firstLineChars="0"/>
        <w:jc w:val="center"/>
        <w:textAlignment w:val="auto"/>
        <w:rPr>
          <w:rFonts w:hint="eastAsia" w:ascii="方正小标宋简体" w:hAnsi="方正小标宋简体" w:eastAsia="方正小标宋简体" w:cs="方正小标宋简体"/>
          <w:color w:val="auto"/>
          <w:spacing w:val="0"/>
          <w:kern w:val="2"/>
          <w:sz w:val="32"/>
          <w:szCs w:val="32"/>
          <w:lang w:val="en-US" w:eastAsia="zh-CN"/>
        </w:rPr>
      </w:pPr>
      <w:r>
        <w:rPr>
          <w:rFonts w:hint="eastAsia" w:ascii="方正小标宋简体" w:hAnsi="方正小标宋简体" w:eastAsia="方正小标宋简体" w:cs="方正小标宋简体"/>
          <w:color w:val="auto"/>
          <w:spacing w:val="0"/>
          <w:kern w:val="2"/>
          <w:sz w:val="32"/>
          <w:szCs w:val="32"/>
          <w:lang w:val="en-US" w:eastAsia="zh-CN"/>
        </w:rPr>
        <w:t>南宁理工学院</w:t>
      </w:r>
    </w:p>
    <w:p w14:paraId="505B5EA0">
      <w:pPr>
        <w:keepNext w:val="0"/>
        <w:keepLines w:val="0"/>
        <w:pageBreakBefore w:val="0"/>
        <w:widowControl w:val="0"/>
        <w:kinsoku/>
        <w:wordWrap/>
        <w:overflowPunct/>
        <w:topLinePunct w:val="0"/>
        <w:autoSpaceDE/>
        <w:autoSpaceDN/>
        <w:bidi w:val="0"/>
        <w:adjustRightInd/>
        <w:snapToGrid w:val="0"/>
        <w:spacing w:line="360" w:lineRule="auto"/>
        <w:ind w:left="0" w:firstLine="0" w:firstLineChars="0"/>
        <w:jc w:val="center"/>
        <w:textAlignment w:val="auto"/>
        <w:rPr>
          <w:rFonts w:hint="eastAsia" w:ascii="方正小标宋简体" w:hAnsi="方正小标宋简体" w:eastAsia="方正小标宋简体" w:cs="方正小标宋简体"/>
          <w:color w:val="auto"/>
          <w:spacing w:val="0"/>
          <w:kern w:val="2"/>
          <w:sz w:val="32"/>
          <w:szCs w:val="32"/>
        </w:rPr>
      </w:pPr>
      <w:r>
        <w:rPr>
          <w:rFonts w:hint="eastAsia" w:ascii="方正小标宋简体" w:hAnsi="方正小标宋简体" w:eastAsia="方正小标宋简体" w:cs="方正小标宋简体"/>
          <w:color w:val="auto"/>
          <w:spacing w:val="0"/>
          <w:kern w:val="2"/>
          <w:sz w:val="32"/>
          <w:szCs w:val="32"/>
        </w:rPr>
        <w:t>关于制定202</w:t>
      </w:r>
      <w:r>
        <w:rPr>
          <w:rFonts w:hint="eastAsia" w:ascii="方正小标宋简体" w:hAnsi="方正小标宋简体" w:eastAsia="方正小标宋简体" w:cs="方正小标宋简体"/>
          <w:color w:val="auto"/>
          <w:spacing w:val="0"/>
          <w:kern w:val="2"/>
          <w:sz w:val="32"/>
          <w:szCs w:val="32"/>
          <w:lang w:val="en-US" w:eastAsia="zh-CN"/>
        </w:rPr>
        <w:t>4级专升本</w:t>
      </w:r>
      <w:r>
        <w:rPr>
          <w:rFonts w:hint="eastAsia" w:ascii="方正小标宋简体" w:hAnsi="方正小标宋简体" w:eastAsia="方正小标宋简体" w:cs="方正小标宋简体"/>
          <w:color w:val="auto"/>
          <w:spacing w:val="0"/>
          <w:kern w:val="2"/>
          <w:sz w:val="32"/>
          <w:szCs w:val="32"/>
        </w:rPr>
        <w:t>专业人才培养方案的指导性意见</w:t>
      </w:r>
    </w:p>
    <w:p w14:paraId="76559586">
      <w:pPr>
        <w:keepNext w:val="0"/>
        <w:keepLines w:val="0"/>
        <w:pageBreakBefore w:val="0"/>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color w:val="auto"/>
          <w:spacing w:val="0"/>
          <w:kern w:val="2"/>
          <w:sz w:val="24"/>
          <w:szCs w:val="24"/>
        </w:rPr>
      </w:pPr>
    </w:p>
    <w:p w14:paraId="051B31EA">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为贯彻落实全国教育大会、新时代全国高等学校本科教育工作会议精神</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落实立德树人根本任务，提高人才培养质量，根据《教育部关于深化本科教育教学改革 全面提高人才培养质量的意见》（教高〔2019〕6号）等上级文件精神和学校“十四五”发展规划等文件要求，制定我校202</w:t>
      </w:r>
      <w:r>
        <w:rPr>
          <w:rFonts w:hint="eastAsia" w:ascii="仿宋_GB2312" w:hAnsi="仿宋" w:eastAsia="仿宋_GB2312" w:cs="Times New Roman"/>
          <w:color w:val="auto"/>
          <w:spacing w:val="0"/>
          <w:kern w:val="2"/>
          <w:sz w:val="28"/>
          <w:szCs w:val="28"/>
          <w:lang w:val="en-US" w:eastAsia="zh-CN"/>
        </w:rPr>
        <w:t>4级</w:t>
      </w:r>
      <w:r>
        <w:rPr>
          <w:rFonts w:hint="eastAsia" w:ascii="仿宋_GB2312" w:hAnsi="仿宋" w:eastAsia="仿宋_GB2312" w:cs="Times New Roman"/>
          <w:color w:val="auto"/>
          <w:spacing w:val="0"/>
          <w:kern w:val="2"/>
          <w:sz w:val="28"/>
          <w:szCs w:val="28"/>
        </w:rPr>
        <w:t>本科专业人才培养方案指导性意见。</w:t>
      </w:r>
    </w:p>
    <w:p w14:paraId="72E50F04">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rPr>
      </w:pPr>
      <w:bookmarkStart w:id="0" w:name="_Hlk106523298"/>
      <w:r>
        <w:rPr>
          <w:rFonts w:hint="eastAsia" w:ascii="黑体" w:hAnsi="黑体" w:eastAsia="黑体" w:cs="Times New Roman"/>
          <w:color w:val="auto"/>
          <w:spacing w:val="0"/>
          <w:kern w:val="2"/>
          <w:sz w:val="28"/>
          <w:szCs w:val="28"/>
          <w:lang w:val="en-US" w:eastAsia="zh-CN"/>
        </w:rPr>
        <w:t>一、</w:t>
      </w:r>
      <w:r>
        <w:rPr>
          <w:rFonts w:hint="eastAsia" w:ascii="黑体" w:hAnsi="黑体" w:eastAsia="黑体" w:cs="Times New Roman"/>
          <w:color w:val="auto"/>
          <w:spacing w:val="0"/>
          <w:kern w:val="2"/>
          <w:sz w:val="28"/>
          <w:szCs w:val="28"/>
        </w:rPr>
        <w:t>指导思想</w:t>
      </w:r>
    </w:p>
    <w:p w14:paraId="02EA25B7">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以习近平新时代中国特色社会主义思想为指导，全面贯彻党的教育方针，坚持社会主义办学方向，落实立德树人根本任务，遵循教育规律，立足广西，面向全国，辐射东盟，服务地方、服务行业，落实“学生中心、产出导向、持续改进”教育理念，全面优化本科人才培养目标、毕业要求、课程体系，培养思想品德优良、知识结构合理、实践能力突出、创新意识和创业能力强的德智体美劳全面发展的高素质应用型人才。</w:t>
      </w:r>
    </w:p>
    <w:bookmarkEnd w:id="0"/>
    <w:p w14:paraId="18411A68">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lang w:val="en-US" w:eastAsia="zh-CN"/>
        </w:rPr>
      </w:pPr>
      <w:r>
        <w:rPr>
          <w:rFonts w:hint="eastAsia" w:ascii="黑体" w:hAnsi="黑体" w:eastAsia="黑体" w:cs="Times New Roman"/>
          <w:color w:val="auto"/>
          <w:spacing w:val="0"/>
          <w:kern w:val="2"/>
          <w:sz w:val="28"/>
          <w:szCs w:val="28"/>
          <w:lang w:val="en-US" w:eastAsia="zh-CN"/>
        </w:rPr>
        <w:t>二、基本原则</w:t>
      </w:r>
    </w:p>
    <w:p w14:paraId="115674A3">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rPr>
      </w:pPr>
      <w:r>
        <w:rPr>
          <w:rFonts w:hint="eastAsia" w:ascii="楷体" w:hAnsi="楷体" w:eastAsia="楷体" w:cs="Times New Roman"/>
          <w:color w:val="auto"/>
          <w:spacing w:val="0"/>
          <w:kern w:val="2"/>
          <w:sz w:val="28"/>
          <w:szCs w:val="28"/>
          <w:shd w:val="clear" w:color="auto" w:fill="FFFFFF"/>
          <w:lang w:val="en-US" w:eastAsia="zh-CN"/>
        </w:rPr>
        <w:t xml:space="preserve">（一）坚持立德树人、全面发展 </w:t>
      </w:r>
    </w:p>
    <w:p w14:paraId="4BF3E71F">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lang w:val="en-US" w:eastAsia="zh-CN"/>
        </w:rPr>
        <w:t>坚持正确的政治方向，全面落实立德树人根本任务；坚持用习近平新时代中国特色社会主义思想铸魂育人，培育和践行社会主义核心价值观；坚持以文化人、以德育人，不断提高学生思想水平、政治觉悟、道德品质、文化素养；坚持五育并举，强化三全育人，全面推进课程思政，实现价值引领、知识传授、能力培养的有机融合，促进学生德智体美劳全面发展。</w:t>
      </w:r>
    </w:p>
    <w:p w14:paraId="077466E6">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 xml:space="preserve">（二）坚持学生中心、产出导向 </w:t>
      </w:r>
    </w:p>
    <w:p w14:paraId="0C048C3D">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lang w:val="en-US" w:eastAsia="zh-CN"/>
        </w:rPr>
        <w:t>根据</w:t>
      </w:r>
      <w:r>
        <w:rPr>
          <w:rFonts w:hint="eastAsia" w:ascii="仿宋_GB2312" w:hAnsi="仿宋" w:eastAsia="仿宋_GB2312" w:cs="Times New Roman"/>
          <w:color w:val="auto"/>
          <w:spacing w:val="0"/>
          <w:kern w:val="2"/>
          <w:sz w:val="28"/>
          <w:szCs w:val="28"/>
        </w:rPr>
        <w:t>“国家标准”</w:t>
      </w:r>
      <w:r>
        <w:rPr>
          <w:rFonts w:hint="eastAsia" w:ascii="仿宋_GB2312" w:hAnsi="仿宋" w:eastAsia="仿宋_GB2312" w:cs="Times New Roman"/>
          <w:color w:val="auto"/>
          <w:spacing w:val="0"/>
          <w:kern w:val="2"/>
          <w:sz w:val="28"/>
          <w:szCs w:val="28"/>
          <w:lang w:val="en-US" w:eastAsia="zh-CN"/>
        </w:rPr>
        <w:t>和</w:t>
      </w:r>
      <w:r>
        <w:rPr>
          <w:rFonts w:hint="eastAsia" w:ascii="仿宋_GB2312" w:hAnsi="仿宋" w:eastAsia="仿宋_GB2312" w:cs="Times New Roman"/>
          <w:color w:val="auto"/>
          <w:spacing w:val="0"/>
          <w:kern w:val="2"/>
          <w:sz w:val="28"/>
          <w:szCs w:val="28"/>
        </w:rPr>
        <w:t>专业认证标准，</w:t>
      </w:r>
      <w:r>
        <w:rPr>
          <w:rFonts w:hint="eastAsia" w:ascii="仿宋_GB2312" w:hAnsi="仿宋" w:eastAsia="仿宋_GB2312" w:cs="Times New Roman"/>
          <w:color w:val="auto"/>
          <w:spacing w:val="0"/>
          <w:kern w:val="2"/>
          <w:sz w:val="28"/>
          <w:szCs w:val="28"/>
          <w:lang w:val="en-US" w:eastAsia="zh-CN"/>
        </w:rPr>
        <w:t>加强人才需求调研，科学</w:t>
      </w:r>
      <w:r>
        <w:rPr>
          <w:rFonts w:hint="eastAsia" w:ascii="仿宋_GB2312" w:hAnsi="仿宋" w:eastAsia="仿宋_GB2312" w:cs="Times New Roman"/>
          <w:color w:val="auto"/>
          <w:spacing w:val="0"/>
          <w:kern w:val="2"/>
          <w:sz w:val="28"/>
          <w:szCs w:val="28"/>
        </w:rPr>
        <w:t>论证人才需求与培养目标、毕业要求及课程体系之间关系，以人才需求设定培养目标，依据培养目标制定毕业要求，由毕业要求规划课程设置，最终指向学生发展，形成反向设计，正向施工的人才培养路径。</w:t>
      </w:r>
    </w:p>
    <w:p w14:paraId="718BC04A">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（三）坚持服务需求、特色发展</w:t>
      </w:r>
    </w:p>
    <w:p w14:paraId="237D5956">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聚焦新工科、新文科专业建设要求，主动适应新技术、新产业、新业态、新模式的经济发展变革，积极推动人工智能、大数据等现代信息技术与专业深度融合，强化学科交叉，鼓励开设跨学科跨专业新兴交叉课程、专创融合课程、校企合作课程，培养学生知识融汇应用能力和创新实践能力。</w:t>
      </w:r>
    </w:p>
    <w:p w14:paraId="39EEA825">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 xml:space="preserve">（四）坚持产教融合、协同育人 </w:t>
      </w:r>
    </w:p>
    <w:p w14:paraId="5B3662CE">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全面推进行业企业深度参与人才培养，与行业企业共同制定人才培养目标，共同确定人才培养要求，共同制定人才培养质量标准，共同设计课程体系，共同开发课程资源，共同建设实践基地，共同开展教学活动，实现人才培养与行业企业人才需求的无缝对接，努力</w:t>
      </w:r>
      <w:r>
        <w:rPr>
          <w:rFonts w:hint="eastAsia" w:ascii="仿宋_GB2312" w:hAnsi="仿宋" w:eastAsia="仿宋_GB2312" w:cs="Times New Roman"/>
          <w:color w:val="auto"/>
          <w:spacing w:val="0"/>
          <w:kern w:val="2"/>
          <w:sz w:val="28"/>
          <w:szCs w:val="28"/>
        </w:rPr>
        <w:t>培养符合社会需求和产业发展需要的高素质</w:t>
      </w:r>
      <w:r>
        <w:rPr>
          <w:rFonts w:hint="eastAsia" w:ascii="仿宋_GB2312" w:hAnsi="仿宋" w:eastAsia="仿宋_GB2312" w:cs="Times New Roman"/>
          <w:color w:val="auto"/>
          <w:spacing w:val="0"/>
          <w:kern w:val="2"/>
          <w:sz w:val="28"/>
          <w:szCs w:val="28"/>
          <w:lang w:val="en-US" w:eastAsia="zh-CN"/>
        </w:rPr>
        <w:t>应用型</w:t>
      </w:r>
      <w:r>
        <w:rPr>
          <w:rFonts w:hint="eastAsia" w:ascii="仿宋_GB2312" w:hAnsi="仿宋" w:eastAsia="仿宋_GB2312" w:cs="Times New Roman"/>
          <w:color w:val="auto"/>
          <w:spacing w:val="0"/>
          <w:kern w:val="2"/>
          <w:sz w:val="28"/>
          <w:szCs w:val="28"/>
        </w:rPr>
        <w:t>人才。</w:t>
      </w:r>
    </w:p>
    <w:p w14:paraId="6CD4BB82">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lang w:val="en-US" w:eastAsia="zh-CN"/>
        </w:rPr>
      </w:pPr>
      <w:r>
        <w:rPr>
          <w:rFonts w:hint="eastAsia" w:ascii="黑体" w:hAnsi="黑体" w:eastAsia="黑体" w:cs="Times New Roman"/>
          <w:color w:val="auto"/>
          <w:spacing w:val="0"/>
          <w:kern w:val="2"/>
          <w:sz w:val="28"/>
          <w:szCs w:val="28"/>
          <w:lang w:val="en-US" w:eastAsia="zh-CN"/>
        </w:rPr>
        <w:t>三、研制重点</w:t>
      </w:r>
    </w:p>
    <w:p w14:paraId="03CC10EE">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bookmarkStart w:id="1" w:name="_Hlk106541097"/>
      <w:r>
        <w:rPr>
          <w:rFonts w:hint="eastAsia" w:ascii="楷体" w:hAnsi="楷体" w:eastAsia="楷体" w:cs="Times New Roman"/>
          <w:color w:val="auto"/>
          <w:spacing w:val="0"/>
          <w:kern w:val="2"/>
          <w:sz w:val="28"/>
          <w:szCs w:val="28"/>
          <w:shd w:val="clear" w:color="auto" w:fill="FFFFFF"/>
          <w:lang w:val="en-US" w:eastAsia="zh-CN"/>
        </w:rPr>
        <w:t>（一）严格对标对表，重塑培养目标</w:t>
      </w:r>
    </w:p>
    <w:p w14:paraId="0903ADA1">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各二级学院应围绕学校办学定位、人才培养总目标和社会发展需求、学生成长需求，认真研读“国家标准”中确立的培养目标、培养规格和课程体系要求。工程类专业应遵循《工程教育认证通用标准》及专业类补充标准，师范类专业应遵循《师范专业认证标准》（第二级）《教师专业标准》《师范生教师职业能力标准》《教师教育课程标准》，其他专业应参照“国家标准”和专业综合评估、行业从业标准。进一步理清“培养目标—毕业要求—课程体系”三者之间的内在逻辑关系和有效支撑，科学凝练、准确定位各专业的人才培养目标和毕业要求。</w:t>
      </w:r>
    </w:p>
    <w:p w14:paraId="0CEBDD90">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（二）坚持内涵提升，重构课程体系</w:t>
      </w:r>
    </w:p>
    <w:p w14:paraId="076BD0F5">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各专业应认真梳理本专业课程体系，优化知识结构，深入分析专业基础课程和专业核心（必修）课程设置，提升基础类和核心类课程的内涵，为高素质应用型人才培养提供扎实的专业基础。在课程体系中设置双语课程、全英文课程、校内外合授课程（校校联合课程、产教融合课程）、线上线下混合课程、研讨类课程、科教融汇类课程等特色、特色课程。注重专业核心课程的基础性、前沿性，引进省级一流课程、国家级一流课程等优质课程资源，打造一流专业教育。</w:t>
      </w:r>
    </w:p>
    <w:p w14:paraId="2159E58A">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（三）坚持“四新”引领，注重学科融通</w:t>
      </w:r>
    </w:p>
    <w:p w14:paraId="49BF9287">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依据“四新”建设要求，打破学科专业壁垒，推动学科专业交叉融合，鼓励各专业在专业选修课程模块中开设跨学科门类课程，增设部分跨专业课程，为各专业学生提供更多的个性化交叉选修课程。瞄准新兴产业人才需求变化，优先增设物联网、大数据、云计算、人工智能、数据挖掘、数据分析等领域课程，探索“智能+”“数字+”跨学科跨专业交叉融合培养模式，增强学生应用最新科技的能力，提高学生就业竞争力和职业发展力。</w:t>
      </w:r>
    </w:p>
    <w:p w14:paraId="017E9B89">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 xml:space="preserve">（四）推进数字教育，提升教学质量 </w:t>
      </w:r>
    </w:p>
    <w:p w14:paraId="7273DA39">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积极设置和完善数字教育课程体系，将提升数字素养融入教育教学全过程之中，以数字化教育改变学生的学，注重培养学生数据科学思维和AI应用能力以及终身学习能力；以数字赋能改变教师的教，鼓励和探索数字化环境下的教学模式创新，采用慕课、翻转课堂、混合式教学、虚拟场景化教学等，提高教学互动性和参与度；发挥学校网络平台作用，强化网络学习空间应用，创新课程考核及学生学习评价方式。</w:t>
      </w:r>
    </w:p>
    <w:p w14:paraId="59A7FB93">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（五）突出实践教学，强化能力培养</w:t>
      </w:r>
    </w:p>
    <w:p w14:paraId="672EC190">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各学院要明确专业实践教学要求，合理规划人才培养方案中实验实践教学比重，对实习、实训、课程设计、社会调查、毕业论文（设计）、课外活动（包括邀请行业专家讲座）等实践性教学环节进行整体、系统的优化设计。突出实验实训内容的基础性和应用性，推进实验内容和实验模式的改革与创新，扩大设计性实验、综合性实习、创新性实验、生产性实习的比例。充分利用信息技术，在“能实不虚”的原则下加强虚拟仿真实验项目的应用。确保列入本科专业教学计划的人文社科类专业实践教学占总学分（学时）不低于 30%，理工艺体类专业实践教学占总学分（学时）不低于 35%。</w:t>
      </w:r>
    </w:p>
    <w:p w14:paraId="15337F6E">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（六）坚持联合培养，推进协同育人</w:t>
      </w:r>
    </w:p>
    <w:p w14:paraId="5B6A0320">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突出产出导向，切实提高人才培养与区域经济社会发展需求的匹配度。结合学校办学定位，保证培养目标与社会需求之间具有良好的对应关系。坚持科产教融合，鼓励按照行业标准设置课程，充分利用社会资源，建设实践基地和产业学院，积极与知名企业、社会机构和科研院所合作办学，开设校企联合特色课程。</w:t>
      </w:r>
    </w:p>
    <w:p w14:paraId="3811ABDF">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（七）促进“双创”改革，提升开展创新实践活动</w:t>
      </w:r>
    </w:p>
    <w:p w14:paraId="4B44F206">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加强创新创业课程体系的建设，广泛开展创新创业实践活动。加强创新创业教育与通识教育、专业教育相互融合，在人才培养全过程中启发学生创新创业意识，训练学生创新创业思维，培养学生发现问题和解决问题能力，在掌握扎实的专业知识和技能的同时，各专业根据自身特色与优势，结合学科前沿理论与方法、构建“通识教育、专业教育及课外教育”的创新创业课程体系。</w:t>
      </w:r>
    </w:p>
    <w:p w14:paraId="16B824E1">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lang w:val="en-US" w:eastAsia="zh-CN"/>
        </w:rPr>
      </w:pPr>
      <w:r>
        <w:rPr>
          <w:rFonts w:hint="eastAsia" w:ascii="黑体" w:hAnsi="黑体" w:eastAsia="黑体" w:cs="Times New Roman"/>
          <w:color w:val="auto"/>
          <w:spacing w:val="0"/>
          <w:kern w:val="2"/>
          <w:sz w:val="28"/>
          <w:szCs w:val="28"/>
          <w:lang w:val="en-US" w:eastAsia="zh-CN"/>
        </w:rPr>
        <w:t>四、课程设置</w:t>
      </w:r>
    </w:p>
    <w:p w14:paraId="087E19EC">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专升本专业人才培养方案课程体系由通识教育课程、专业教育课程、综合实践课程构成。师范类专业需结合师范类专业认证和教师教育人才培养要求增设教师教育类课程。</w:t>
      </w:r>
    </w:p>
    <w:p w14:paraId="72670904">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通识教育平台为全校性公共必修课程和选修课程。公共必修课程包括《中国近现代史纲要》《马克思主义基本原理》《形势与政策》《国家安全》《实验室安全》《社会公益教育1》《劳动理论》等7门课程，共计9.5学分。公共选修课程开设美学艺术课程群、信息技术素养课程群、国际视野培养课程群、写作与沟通课程群四大课程群，要求学生选修够4学分。</w:t>
      </w:r>
    </w:p>
    <w:p w14:paraId="21A8EEBE">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bookmarkStart w:id="2" w:name="OLE_LINK1"/>
      <w:r>
        <w:rPr>
          <w:rFonts w:hint="eastAsia" w:ascii="仿宋_GB2312" w:hAnsi="仿宋" w:eastAsia="仿宋_GB2312" w:cs="Times New Roman"/>
          <w:color w:val="auto"/>
          <w:spacing w:val="0"/>
          <w:kern w:val="2"/>
          <w:sz w:val="28"/>
          <w:szCs w:val="28"/>
          <w:lang w:val="en-US" w:eastAsia="zh-CN"/>
        </w:rPr>
        <w:t>专业教育平台由专业基础课程、专业核心课程、专业拓展课程、综合实践课程（非师范专业）四个课程模块组成，包括必修课程和选修课程。</w:t>
      </w:r>
    </w:p>
    <w:p w14:paraId="52177C93">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专业基础课程为专业所属学科领域内基础性的课程群，重在考虑专、本科知识衔接，夯实学生的理论知识基础。此部分课程应避免与学生在专科学习阶段的重复，同时也不能简单地套用普通本科高年级的课程，应在考虑专科课程体系与本科课程体系有机衔接与提升的基础上，规范设置专业基础课程。</w:t>
      </w:r>
    </w:p>
    <w:p w14:paraId="1F988D9D">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专业核心课程是课程体系中具有必要性、生成性和发展性的专业知识所组成的课程群，作用是培养学生专业核心能力和素质，重点安排与专业相关的新知识和新技能。核心课程重在向高层次延伸和扩展，从而达到在教学深度与广度上与本科教育水平有效衔接。重点参考教育部《普通高等学校本科专业目录和专业介绍》和《普通高等学校本科专业类教学质量国家标准》（2018年）中的专业核心知识领域要求，规范设置专业核心课程。</w:t>
      </w:r>
    </w:p>
    <w:p w14:paraId="3C98AF39">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专业拓展课程是以拓展学生知识范围，提升学生综合素质为目标的专业课程，提倡将专业对应的某具体岗位所需理论和技术内容组合成课程模块，培养学生岗位所需知识与技能，最终实现应用型人才培养目标。除师范类专业外，其他应用型专业要根据专业特色和产学研合作情况，开设不少于两个对接岗位需求的方向拓展课程模块。</w:t>
      </w:r>
    </w:p>
    <w:p w14:paraId="20FEA4BA">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lang w:val="en-US" w:eastAsia="zh-CN"/>
        </w:rPr>
      </w:pPr>
      <w:r>
        <w:rPr>
          <w:rFonts w:hint="eastAsia" w:ascii="仿宋_GB2312" w:hAnsi="仿宋" w:eastAsia="仿宋_GB2312" w:cs="Times New Roman"/>
          <w:color w:val="auto"/>
          <w:spacing w:val="0"/>
          <w:kern w:val="2"/>
          <w:sz w:val="28"/>
          <w:szCs w:val="28"/>
          <w:lang w:val="en-US" w:eastAsia="zh-CN"/>
        </w:rPr>
        <w:t>综合实践课程包括专业教育中的专业实训和专业见习、实习、研习、创新创业训练（模拟）和毕业论文（设计）等实践环节。</w:t>
      </w:r>
    </w:p>
    <w:bookmarkEnd w:id="2"/>
    <w:p w14:paraId="4CCDD13F">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lang w:val="en-US" w:eastAsia="zh-CN"/>
        </w:rPr>
      </w:pPr>
      <w:r>
        <w:rPr>
          <w:rFonts w:hint="eastAsia" w:ascii="黑体" w:hAnsi="黑体" w:eastAsia="黑体" w:cs="Times New Roman"/>
          <w:color w:val="auto"/>
          <w:spacing w:val="0"/>
          <w:kern w:val="2"/>
          <w:sz w:val="28"/>
          <w:szCs w:val="28"/>
          <w:lang w:val="en-US" w:eastAsia="zh-CN"/>
        </w:rPr>
        <w:t>五、相关说明</w:t>
      </w:r>
    </w:p>
    <w:p w14:paraId="4588308E">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（一）学分与学时要求</w:t>
      </w:r>
    </w:p>
    <w:p w14:paraId="37CE7841">
      <w:pPr>
        <w:keepNext w:val="0"/>
        <w:keepLines w:val="0"/>
        <w:pageBreakBefore w:val="0"/>
        <w:numPr>
          <w:ilvl w:val="0"/>
          <w:numId w:val="0"/>
        </w:numPr>
        <w:kinsoku/>
        <w:wordWrap/>
        <w:overflowPunct/>
        <w:topLinePunct w:val="0"/>
        <w:autoSpaceDE/>
        <w:autoSpaceDN/>
        <w:bidi w:val="0"/>
        <w:adjustRightInd/>
        <w:snapToGrid w:val="0"/>
        <w:spacing w:line="480" w:lineRule="exact"/>
        <w:ind w:left="0" w:leftChars="0" w:firstLine="560" w:firstLineChars="200"/>
        <w:textAlignment w:val="auto"/>
        <w:rPr>
          <w:rFonts w:hint="eastAsia" w:ascii="仿宋_GB2312" w:hAnsi="仿宋_GB2312" w:eastAsia="仿宋_GB2312" w:cs="仿宋_GB2312"/>
          <w:b w:val="0"/>
          <w:bCs/>
          <w:color w:val="auto"/>
          <w:spacing w:val="0"/>
          <w:kern w:val="2"/>
          <w:sz w:val="28"/>
          <w:szCs w:val="28"/>
          <w:lang w:eastAsia="zh-CN"/>
        </w:rPr>
      </w:pPr>
      <w:r>
        <w:rPr>
          <w:rFonts w:hint="eastAsia" w:ascii="仿宋_GB2312" w:hAnsi="仿宋_GB2312" w:eastAsia="仿宋_GB2312" w:cs="仿宋_GB2312"/>
          <w:b w:val="0"/>
          <w:bCs/>
          <w:color w:val="auto"/>
          <w:spacing w:val="0"/>
          <w:kern w:val="2"/>
          <w:sz w:val="28"/>
          <w:szCs w:val="28"/>
          <w:lang w:val="en-US" w:eastAsia="zh-CN" w:bidi="ar-SA"/>
        </w:rPr>
        <w:t>1.</w:t>
      </w:r>
      <w:r>
        <w:rPr>
          <w:rFonts w:hint="eastAsia" w:ascii="仿宋_GB2312" w:hAnsi="仿宋_GB2312" w:eastAsia="仿宋_GB2312" w:cs="仿宋_GB2312"/>
          <w:b/>
          <w:color w:val="auto"/>
          <w:spacing w:val="0"/>
          <w:kern w:val="2"/>
          <w:sz w:val="28"/>
          <w:szCs w:val="28"/>
        </w:rPr>
        <w:t>毕业学分：</w:t>
      </w:r>
      <w:r>
        <w:rPr>
          <w:rFonts w:hint="eastAsia" w:ascii="仿宋_GB2312" w:hAnsi="仿宋_GB2312" w:eastAsia="仿宋_GB2312" w:cs="仿宋_GB2312"/>
          <w:b w:val="0"/>
          <w:bCs/>
          <w:color w:val="auto"/>
          <w:spacing w:val="0"/>
          <w:kern w:val="2"/>
          <w:sz w:val="28"/>
          <w:szCs w:val="28"/>
          <w:lang w:val="en-US" w:eastAsia="zh-CN"/>
        </w:rPr>
        <w:t>各专业毕业学分严格按照《普通高等学校本科专业类教学质量国家标准》的要求设定，两年制“专升本”学生的毕业学分文史、商科、艺术类不超过72学分，理工科类不超过82学分。</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1460"/>
        <w:gridCol w:w="2496"/>
        <w:gridCol w:w="3006"/>
      </w:tblGrid>
      <w:tr w14:paraId="32CC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0DFED37F">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bCs w:val="0"/>
                <w:color w:val="auto"/>
                <w:spacing w:val="0"/>
                <w:kern w:val="2"/>
                <w:sz w:val="22"/>
                <w:szCs w:val="22"/>
                <w:lang w:eastAsia="zh-CN"/>
              </w:rPr>
            </w:pPr>
            <w:r>
              <w:rPr>
                <w:rFonts w:hint="eastAsia" w:ascii="仿宋_GB2312" w:hAnsi="仿宋_GB2312" w:eastAsia="仿宋_GB2312" w:cs="仿宋_GB2312"/>
                <w:b/>
                <w:bCs w:val="0"/>
                <w:color w:val="auto"/>
                <w:spacing w:val="0"/>
                <w:kern w:val="2"/>
                <w:sz w:val="22"/>
                <w:szCs w:val="22"/>
                <w:lang w:eastAsia="zh-CN"/>
              </w:rPr>
              <w:t>学科专业类别</w:t>
            </w:r>
          </w:p>
        </w:tc>
        <w:tc>
          <w:tcPr>
            <w:tcW w:w="786" w:type="pct"/>
          </w:tcPr>
          <w:p w14:paraId="45805D2D">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bCs w:val="0"/>
                <w:color w:val="auto"/>
                <w:spacing w:val="0"/>
                <w:kern w:val="2"/>
                <w:sz w:val="22"/>
                <w:szCs w:val="22"/>
                <w:lang w:eastAsia="zh-CN"/>
              </w:rPr>
            </w:pPr>
            <w:r>
              <w:rPr>
                <w:rFonts w:hint="eastAsia" w:ascii="仿宋_GB2312" w:hAnsi="仿宋_GB2312" w:eastAsia="仿宋_GB2312" w:cs="仿宋_GB2312"/>
                <w:b/>
                <w:bCs w:val="0"/>
                <w:color w:val="auto"/>
                <w:spacing w:val="0"/>
                <w:kern w:val="2"/>
                <w:sz w:val="22"/>
                <w:szCs w:val="22"/>
                <w:lang w:eastAsia="zh-CN"/>
              </w:rPr>
              <w:t>总学分</w:t>
            </w:r>
          </w:p>
        </w:tc>
        <w:tc>
          <w:tcPr>
            <w:tcW w:w="1344" w:type="pct"/>
          </w:tcPr>
          <w:p w14:paraId="5751D121">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bCs w:val="0"/>
                <w:color w:val="auto"/>
                <w:spacing w:val="0"/>
                <w:kern w:val="2"/>
                <w:sz w:val="22"/>
                <w:szCs w:val="22"/>
                <w:lang w:eastAsia="zh-CN"/>
              </w:rPr>
            </w:pPr>
            <w:r>
              <w:rPr>
                <w:rFonts w:hint="eastAsia" w:ascii="仿宋_GB2312" w:hAnsi="仿宋_GB2312" w:eastAsia="仿宋_GB2312" w:cs="仿宋_GB2312"/>
                <w:b/>
                <w:bCs w:val="0"/>
                <w:color w:val="auto"/>
                <w:spacing w:val="0"/>
                <w:kern w:val="2"/>
                <w:sz w:val="22"/>
                <w:szCs w:val="22"/>
                <w:lang w:eastAsia="zh-CN"/>
              </w:rPr>
              <w:t>课内教学占总学分比例</w:t>
            </w:r>
          </w:p>
        </w:tc>
        <w:tc>
          <w:tcPr>
            <w:tcW w:w="1619" w:type="pct"/>
          </w:tcPr>
          <w:p w14:paraId="3ECF63CF">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bCs w:val="0"/>
                <w:color w:val="auto"/>
                <w:spacing w:val="0"/>
                <w:kern w:val="2"/>
                <w:sz w:val="22"/>
                <w:szCs w:val="22"/>
                <w:lang w:eastAsia="zh-CN"/>
              </w:rPr>
            </w:pPr>
            <w:r>
              <w:rPr>
                <w:rFonts w:hint="eastAsia" w:ascii="仿宋_GB2312" w:hAnsi="仿宋_GB2312" w:eastAsia="仿宋_GB2312" w:cs="仿宋_GB2312"/>
                <w:b/>
                <w:bCs w:val="0"/>
                <w:color w:val="auto"/>
                <w:spacing w:val="0"/>
                <w:kern w:val="2"/>
                <w:sz w:val="22"/>
                <w:szCs w:val="22"/>
                <w:lang w:eastAsia="zh-CN"/>
              </w:rPr>
              <w:t>集中实践教学占总学分比例</w:t>
            </w:r>
          </w:p>
        </w:tc>
      </w:tr>
      <w:tr w14:paraId="5A1D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2545598E">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val="0"/>
                <w:bCs/>
                <w:color w:val="auto"/>
                <w:spacing w:val="0"/>
                <w:kern w:val="2"/>
                <w:sz w:val="22"/>
                <w:szCs w:val="22"/>
                <w:lang w:eastAsia="zh-CN"/>
              </w:rPr>
            </w:pPr>
            <w:r>
              <w:rPr>
                <w:rFonts w:hint="eastAsia" w:ascii="仿宋_GB2312" w:hAnsi="仿宋_GB2312" w:eastAsia="仿宋_GB2312" w:cs="仿宋_GB2312"/>
                <w:b w:val="0"/>
                <w:bCs/>
                <w:color w:val="auto"/>
                <w:spacing w:val="0"/>
                <w:kern w:val="2"/>
                <w:sz w:val="22"/>
                <w:szCs w:val="22"/>
                <w:lang w:val="en-US" w:eastAsia="zh-CN"/>
              </w:rPr>
              <w:t>文史、商科、</w:t>
            </w:r>
            <w:r>
              <w:rPr>
                <w:rFonts w:hint="eastAsia" w:ascii="仿宋_GB2312" w:hAnsi="仿宋_GB2312" w:eastAsia="仿宋_GB2312" w:cs="仿宋_GB2312"/>
                <w:b w:val="0"/>
                <w:bCs/>
                <w:color w:val="auto"/>
                <w:spacing w:val="0"/>
                <w:kern w:val="2"/>
                <w:sz w:val="22"/>
                <w:szCs w:val="22"/>
                <w:lang w:eastAsia="zh-CN"/>
              </w:rPr>
              <w:t>艺术类</w:t>
            </w:r>
          </w:p>
        </w:tc>
        <w:tc>
          <w:tcPr>
            <w:tcW w:w="786" w:type="pct"/>
          </w:tcPr>
          <w:p w14:paraId="05357934">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default" w:ascii="仿宋_GB2312" w:hAnsi="仿宋_GB2312" w:eastAsia="仿宋_GB2312" w:cs="仿宋_GB2312"/>
                <w:b w:val="0"/>
                <w:bCs/>
                <w:color w:val="auto"/>
                <w:spacing w:val="0"/>
                <w:kern w:val="2"/>
                <w:sz w:val="22"/>
                <w:szCs w:val="22"/>
                <w:lang w:val="en-US" w:eastAsia="zh-CN"/>
              </w:rPr>
            </w:pPr>
            <w:r>
              <w:rPr>
                <w:rFonts w:hint="eastAsia" w:ascii="仿宋_GB2312" w:hAnsi="仿宋_GB2312" w:eastAsia="仿宋_GB2312" w:cs="仿宋_GB2312"/>
                <w:b w:val="0"/>
                <w:bCs/>
                <w:color w:val="auto"/>
                <w:spacing w:val="0"/>
                <w:kern w:val="2"/>
                <w:sz w:val="22"/>
                <w:szCs w:val="22"/>
                <w:lang w:val="en-US" w:eastAsia="zh-CN"/>
              </w:rPr>
              <w:t>72</w:t>
            </w:r>
          </w:p>
        </w:tc>
        <w:tc>
          <w:tcPr>
            <w:tcW w:w="1344" w:type="pct"/>
          </w:tcPr>
          <w:p w14:paraId="4518B85C">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default" w:ascii="仿宋_GB2312" w:hAnsi="仿宋_GB2312" w:eastAsia="仿宋_GB2312" w:cs="仿宋_GB2312"/>
                <w:b w:val="0"/>
                <w:bCs/>
                <w:color w:val="auto"/>
                <w:spacing w:val="0"/>
                <w:kern w:val="2"/>
                <w:sz w:val="22"/>
                <w:szCs w:val="22"/>
                <w:lang w:val="en-US" w:eastAsia="zh-CN"/>
              </w:rPr>
            </w:pPr>
            <w:r>
              <w:rPr>
                <w:rFonts w:hint="eastAsia" w:ascii="仿宋_GB2312" w:hAnsi="仿宋_GB2312" w:eastAsia="仿宋_GB2312" w:cs="仿宋_GB2312"/>
                <w:b w:val="0"/>
                <w:bCs/>
                <w:color w:val="auto"/>
                <w:spacing w:val="0"/>
                <w:kern w:val="2"/>
                <w:sz w:val="22"/>
                <w:szCs w:val="22"/>
                <w:lang w:val="en-US" w:eastAsia="zh-CN"/>
              </w:rPr>
              <w:t>70%~75%</w:t>
            </w:r>
          </w:p>
        </w:tc>
        <w:tc>
          <w:tcPr>
            <w:tcW w:w="1619" w:type="pct"/>
          </w:tcPr>
          <w:p w14:paraId="33925905">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val="0"/>
                <w:bCs/>
                <w:color w:val="auto"/>
                <w:spacing w:val="0"/>
                <w:kern w:val="2"/>
                <w:sz w:val="22"/>
                <w:szCs w:val="22"/>
                <w:lang w:eastAsia="zh-CN"/>
              </w:rPr>
            </w:pPr>
            <w:r>
              <w:rPr>
                <w:rFonts w:hint="eastAsia" w:ascii="仿宋_GB2312" w:hAnsi="仿宋_GB2312" w:eastAsia="仿宋_GB2312" w:cs="仿宋_GB2312"/>
                <w:b w:val="0"/>
                <w:bCs/>
                <w:color w:val="auto"/>
                <w:spacing w:val="0"/>
                <w:kern w:val="2"/>
                <w:sz w:val="22"/>
                <w:szCs w:val="22"/>
                <w:lang w:val="en-US" w:eastAsia="zh-CN"/>
              </w:rPr>
              <w:t>25%~30%</w:t>
            </w:r>
          </w:p>
        </w:tc>
      </w:tr>
      <w:tr w14:paraId="63F3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55E14839">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val="0"/>
                <w:bCs/>
                <w:color w:val="auto"/>
                <w:spacing w:val="0"/>
                <w:kern w:val="2"/>
                <w:sz w:val="22"/>
                <w:szCs w:val="22"/>
                <w:lang w:eastAsia="zh-CN"/>
              </w:rPr>
            </w:pPr>
            <w:r>
              <w:rPr>
                <w:rFonts w:hint="eastAsia" w:ascii="仿宋_GB2312" w:hAnsi="仿宋_GB2312" w:eastAsia="仿宋_GB2312" w:cs="仿宋_GB2312"/>
                <w:b w:val="0"/>
                <w:bCs/>
                <w:color w:val="auto"/>
                <w:spacing w:val="0"/>
                <w:kern w:val="2"/>
                <w:sz w:val="22"/>
                <w:szCs w:val="22"/>
                <w:lang w:eastAsia="zh-CN"/>
              </w:rPr>
              <w:t>理工科类</w:t>
            </w:r>
          </w:p>
        </w:tc>
        <w:tc>
          <w:tcPr>
            <w:tcW w:w="786" w:type="pct"/>
          </w:tcPr>
          <w:p w14:paraId="07C447FE">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default" w:ascii="仿宋_GB2312" w:hAnsi="仿宋_GB2312" w:eastAsia="仿宋_GB2312" w:cs="仿宋_GB2312"/>
                <w:b w:val="0"/>
                <w:bCs/>
                <w:color w:val="auto"/>
                <w:spacing w:val="0"/>
                <w:kern w:val="2"/>
                <w:sz w:val="22"/>
                <w:szCs w:val="22"/>
                <w:lang w:val="en-US" w:eastAsia="zh-CN"/>
              </w:rPr>
            </w:pPr>
            <w:r>
              <w:rPr>
                <w:rFonts w:hint="eastAsia" w:ascii="仿宋_GB2312" w:hAnsi="仿宋_GB2312" w:eastAsia="仿宋_GB2312" w:cs="仿宋_GB2312"/>
                <w:b w:val="0"/>
                <w:bCs/>
                <w:color w:val="auto"/>
                <w:spacing w:val="0"/>
                <w:kern w:val="2"/>
                <w:sz w:val="22"/>
                <w:szCs w:val="22"/>
                <w:lang w:val="en-US" w:eastAsia="zh-CN"/>
              </w:rPr>
              <w:t>82</w:t>
            </w:r>
          </w:p>
        </w:tc>
        <w:tc>
          <w:tcPr>
            <w:tcW w:w="1344" w:type="pct"/>
          </w:tcPr>
          <w:p w14:paraId="5FAA83BD">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val="0"/>
                <w:bCs/>
                <w:color w:val="auto"/>
                <w:spacing w:val="0"/>
                <w:kern w:val="2"/>
                <w:sz w:val="22"/>
                <w:szCs w:val="22"/>
                <w:lang w:eastAsia="zh-CN"/>
              </w:rPr>
            </w:pPr>
            <w:r>
              <w:rPr>
                <w:rFonts w:hint="eastAsia" w:ascii="仿宋_GB2312" w:hAnsi="仿宋_GB2312" w:eastAsia="仿宋_GB2312" w:cs="仿宋_GB2312"/>
                <w:b w:val="0"/>
                <w:bCs/>
                <w:color w:val="auto"/>
                <w:spacing w:val="0"/>
                <w:kern w:val="2"/>
                <w:sz w:val="22"/>
                <w:szCs w:val="22"/>
                <w:lang w:val="en-US" w:eastAsia="zh-CN"/>
              </w:rPr>
              <w:t>70%~75%</w:t>
            </w:r>
          </w:p>
        </w:tc>
        <w:tc>
          <w:tcPr>
            <w:tcW w:w="1619" w:type="pct"/>
          </w:tcPr>
          <w:p w14:paraId="290E38E8">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仿宋_GB2312" w:hAnsi="仿宋_GB2312" w:eastAsia="仿宋_GB2312" w:cs="仿宋_GB2312"/>
                <w:b w:val="0"/>
                <w:bCs/>
                <w:color w:val="auto"/>
                <w:spacing w:val="0"/>
                <w:kern w:val="2"/>
                <w:sz w:val="22"/>
                <w:szCs w:val="22"/>
                <w:lang w:eastAsia="zh-CN"/>
              </w:rPr>
            </w:pPr>
            <w:r>
              <w:rPr>
                <w:rFonts w:hint="eastAsia" w:ascii="仿宋_GB2312" w:hAnsi="仿宋_GB2312" w:eastAsia="仿宋_GB2312" w:cs="仿宋_GB2312"/>
                <w:b w:val="0"/>
                <w:bCs/>
                <w:color w:val="auto"/>
                <w:spacing w:val="0"/>
                <w:kern w:val="2"/>
                <w:sz w:val="22"/>
                <w:szCs w:val="22"/>
                <w:lang w:val="en-US" w:eastAsia="zh-CN"/>
              </w:rPr>
              <w:t>25%~30%</w:t>
            </w:r>
          </w:p>
        </w:tc>
      </w:tr>
    </w:tbl>
    <w:p w14:paraId="112AE227">
      <w:pPr>
        <w:keepNext w:val="0"/>
        <w:keepLines w:val="0"/>
        <w:pageBreakBefore w:val="0"/>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color w:val="auto"/>
          <w:spacing w:val="0"/>
          <w:kern w:val="2"/>
          <w:sz w:val="28"/>
          <w:szCs w:val="28"/>
        </w:rPr>
      </w:pPr>
      <w:r>
        <w:rPr>
          <w:rFonts w:hint="eastAsia" w:ascii="仿宋_GB2312" w:hAnsi="仿宋_GB2312" w:eastAsia="仿宋_GB2312" w:cs="仿宋_GB2312"/>
          <w:b/>
          <w:color w:val="auto"/>
          <w:spacing w:val="0"/>
          <w:kern w:val="2"/>
          <w:sz w:val="28"/>
          <w:szCs w:val="28"/>
          <w:lang w:val="en-US" w:eastAsia="zh-CN"/>
        </w:rPr>
        <w:t>2.</w:t>
      </w:r>
      <w:r>
        <w:rPr>
          <w:rFonts w:hint="eastAsia" w:ascii="仿宋_GB2312" w:hAnsi="仿宋_GB2312" w:eastAsia="仿宋_GB2312" w:cs="仿宋_GB2312"/>
          <w:b/>
          <w:color w:val="auto"/>
          <w:spacing w:val="0"/>
          <w:kern w:val="2"/>
          <w:sz w:val="28"/>
          <w:szCs w:val="28"/>
        </w:rPr>
        <w:t>课内学时：</w:t>
      </w:r>
      <w:r>
        <w:rPr>
          <w:rFonts w:hint="eastAsia" w:ascii="仿宋_GB2312" w:hAnsi="仿宋_GB2312" w:eastAsia="仿宋_GB2312" w:cs="仿宋_GB2312"/>
          <w:color w:val="auto"/>
          <w:spacing w:val="0"/>
          <w:kern w:val="2"/>
          <w:sz w:val="28"/>
          <w:szCs w:val="28"/>
        </w:rPr>
        <w:t>课内总学时包括必修课及选修课的课内总课时，不包括</w:t>
      </w:r>
      <w:r>
        <w:rPr>
          <w:rFonts w:hint="eastAsia" w:ascii="仿宋_GB2312" w:hAnsi="仿宋_GB2312" w:eastAsia="仿宋_GB2312" w:cs="仿宋_GB2312"/>
          <w:color w:val="auto"/>
          <w:spacing w:val="0"/>
          <w:kern w:val="2"/>
          <w:sz w:val="28"/>
          <w:szCs w:val="28"/>
          <w:lang w:val="en-US" w:eastAsia="zh-CN"/>
        </w:rPr>
        <w:t>综合实践</w:t>
      </w:r>
      <w:r>
        <w:rPr>
          <w:rFonts w:hint="eastAsia" w:ascii="仿宋_GB2312" w:hAnsi="仿宋_GB2312" w:eastAsia="仿宋_GB2312" w:cs="仿宋_GB2312"/>
          <w:color w:val="auto"/>
          <w:spacing w:val="0"/>
          <w:kern w:val="2"/>
          <w:sz w:val="28"/>
          <w:szCs w:val="28"/>
        </w:rPr>
        <w:t>教学环节及课外安排的学时。课内周学时数控制在20～2</w:t>
      </w:r>
      <w:r>
        <w:rPr>
          <w:rFonts w:hint="eastAsia" w:ascii="仿宋_GB2312" w:hAnsi="仿宋_GB2312" w:eastAsia="仿宋_GB2312" w:cs="仿宋_GB2312"/>
          <w:color w:val="auto"/>
          <w:spacing w:val="0"/>
          <w:kern w:val="2"/>
          <w:sz w:val="28"/>
          <w:szCs w:val="28"/>
          <w:lang w:val="en-US" w:eastAsia="zh-CN"/>
        </w:rPr>
        <w:t>8</w:t>
      </w:r>
      <w:r>
        <w:rPr>
          <w:rFonts w:hint="eastAsia" w:ascii="仿宋_GB2312" w:hAnsi="仿宋_GB2312" w:eastAsia="仿宋_GB2312" w:cs="仿宋_GB2312"/>
          <w:color w:val="auto"/>
          <w:spacing w:val="0"/>
          <w:kern w:val="2"/>
          <w:sz w:val="28"/>
          <w:szCs w:val="28"/>
        </w:rPr>
        <w:t>学时之间。</w:t>
      </w:r>
    </w:p>
    <w:p w14:paraId="6BA0B508">
      <w:pPr>
        <w:keepNext w:val="0"/>
        <w:keepLines w:val="0"/>
        <w:pageBreakBefore w:val="0"/>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color w:val="auto"/>
          <w:spacing w:val="0"/>
          <w:kern w:val="2"/>
          <w:sz w:val="28"/>
          <w:szCs w:val="28"/>
          <w:lang w:val="en-US" w:eastAsia="zh-CN"/>
        </w:rPr>
        <w:t>3.</w:t>
      </w:r>
      <w:r>
        <w:rPr>
          <w:rFonts w:hint="eastAsia" w:ascii="仿宋_GB2312" w:hAnsi="仿宋_GB2312" w:eastAsia="仿宋_GB2312" w:cs="仿宋_GB2312"/>
          <w:b/>
          <w:color w:val="auto"/>
          <w:spacing w:val="0"/>
          <w:kern w:val="2"/>
          <w:sz w:val="28"/>
          <w:szCs w:val="28"/>
        </w:rPr>
        <w:t>学分计算：</w:t>
      </w:r>
      <w:r>
        <w:rPr>
          <w:rFonts w:hint="eastAsia" w:ascii="仿宋_GB2312" w:hAnsi="仿宋_GB2312" w:eastAsia="仿宋_GB2312" w:cs="仿宋_GB2312"/>
          <w:color w:val="auto"/>
          <w:spacing w:val="0"/>
          <w:kern w:val="2"/>
          <w:sz w:val="28"/>
          <w:szCs w:val="28"/>
        </w:rPr>
        <w:t>“国标”有规定的按“国标”执行</w:t>
      </w:r>
      <w:r>
        <w:rPr>
          <w:rFonts w:hint="eastAsia" w:ascii="仿宋_GB2312" w:hAnsi="仿宋_GB2312" w:eastAsia="仿宋_GB2312" w:cs="仿宋_GB2312"/>
          <w:color w:val="auto"/>
          <w:spacing w:val="0"/>
          <w:kern w:val="2"/>
          <w:sz w:val="28"/>
          <w:szCs w:val="28"/>
          <w:lang w:eastAsia="zh-CN"/>
        </w:rPr>
        <w:t>。“</w:t>
      </w:r>
      <w:r>
        <w:rPr>
          <w:rFonts w:hint="eastAsia" w:ascii="仿宋_GB2312" w:hAnsi="仿宋_GB2312" w:eastAsia="仿宋_GB2312" w:cs="仿宋_GB2312"/>
          <w:color w:val="auto"/>
          <w:spacing w:val="0"/>
          <w:kern w:val="2"/>
          <w:sz w:val="28"/>
          <w:szCs w:val="28"/>
          <w:lang w:val="en-US" w:eastAsia="zh-CN"/>
        </w:rPr>
        <w:t>国标”没有规定的，</w:t>
      </w:r>
      <w:r>
        <w:rPr>
          <w:rFonts w:hint="eastAsia" w:ascii="仿宋_GB2312" w:hAnsi="仿宋_GB2312" w:eastAsia="仿宋_GB2312" w:cs="仿宋_GB2312"/>
          <w:color w:val="auto"/>
          <w:spacing w:val="0"/>
          <w:kern w:val="2"/>
          <w:sz w:val="28"/>
          <w:szCs w:val="28"/>
        </w:rPr>
        <w:t>原则上，</w:t>
      </w:r>
      <w:r>
        <w:rPr>
          <w:rFonts w:hint="eastAsia" w:ascii="仿宋_GB2312" w:hAnsi="仿宋_GB2312" w:eastAsia="仿宋_GB2312" w:cs="仿宋_GB2312"/>
          <w:sz w:val="30"/>
          <w:szCs w:val="30"/>
          <w:lang w:val="en-US" w:eastAsia="zh-CN"/>
        </w:rPr>
        <w:t>课堂教学、实验教学（含上机）按16学时计1学分，每门课程的学分以0.5为单位；体育课每 32 学时计 1 学分；综合实践教学环节按每周（16学时）计1学分。</w:t>
      </w:r>
    </w:p>
    <w:p w14:paraId="3F59D932">
      <w:pPr>
        <w:keepNext w:val="0"/>
        <w:keepLines w:val="0"/>
        <w:pageBreakBefore w:val="0"/>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color w:val="auto"/>
          <w:spacing w:val="0"/>
          <w:kern w:val="2"/>
          <w:sz w:val="28"/>
          <w:szCs w:val="28"/>
        </w:rPr>
      </w:pPr>
      <w:r>
        <w:rPr>
          <w:rFonts w:hint="eastAsia" w:ascii="仿宋_GB2312" w:hAnsi="仿宋_GB2312" w:eastAsia="仿宋_GB2312" w:cs="仿宋_GB2312"/>
          <w:b/>
          <w:color w:val="auto"/>
          <w:spacing w:val="0"/>
          <w:kern w:val="2"/>
          <w:sz w:val="28"/>
          <w:szCs w:val="28"/>
          <w:lang w:val="en-US" w:eastAsia="zh-CN"/>
        </w:rPr>
        <w:t>4.</w:t>
      </w:r>
      <w:r>
        <w:rPr>
          <w:rFonts w:hint="eastAsia" w:ascii="仿宋_GB2312" w:hAnsi="仿宋_GB2312" w:eastAsia="仿宋_GB2312" w:cs="仿宋_GB2312"/>
          <w:b/>
          <w:color w:val="auto"/>
          <w:spacing w:val="0"/>
          <w:kern w:val="2"/>
          <w:sz w:val="28"/>
          <w:szCs w:val="28"/>
        </w:rPr>
        <w:t>学期安排：</w:t>
      </w:r>
      <w:r>
        <w:rPr>
          <w:rFonts w:hint="eastAsia" w:ascii="仿宋_GB2312" w:hAnsi="仿宋_GB2312" w:eastAsia="仿宋_GB2312" w:cs="仿宋_GB2312"/>
          <w:color w:val="auto"/>
          <w:spacing w:val="0"/>
          <w:kern w:val="2"/>
          <w:sz w:val="28"/>
          <w:szCs w:val="28"/>
        </w:rPr>
        <w:t>各学期的学分和周学时数应大体均衡，适当前紧后松，每学期学生应修读18～25学分。</w:t>
      </w:r>
    </w:p>
    <w:p w14:paraId="60D321C0">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（二）学制与学期</w:t>
      </w:r>
    </w:p>
    <w:p w14:paraId="71CFDC53">
      <w:pPr>
        <w:keepNext w:val="0"/>
        <w:keepLines w:val="0"/>
        <w:pageBreakBefore w:val="0"/>
        <w:kinsoku/>
        <w:wordWrap/>
        <w:overflowPunct/>
        <w:topLinePunct w:val="0"/>
        <w:autoSpaceDE/>
        <w:autoSpaceDN/>
        <w:bidi w:val="0"/>
        <w:adjustRightInd/>
        <w:snapToGrid w:val="0"/>
        <w:spacing w:line="360" w:lineRule="auto"/>
        <w:ind w:left="0" w:firstLine="562"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b/>
          <w:bCs/>
          <w:color w:val="auto"/>
          <w:spacing w:val="0"/>
          <w:kern w:val="2"/>
          <w:sz w:val="28"/>
          <w:szCs w:val="28"/>
          <w:lang w:val="en-US" w:eastAsia="zh-CN"/>
        </w:rPr>
        <w:t>1.</w:t>
      </w:r>
      <w:r>
        <w:rPr>
          <w:rFonts w:hint="eastAsia" w:ascii="仿宋_GB2312" w:hAnsi="仿宋" w:eastAsia="仿宋_GB2312" w:cs="Times New Roman"/>
          <w:b/>
          <w:bCs/>
          <w:color w:val="auto"/>
          <w:spacing w:val="0"/>
          <w:kern w:val="2"/>
          <w:sz w:val="28"/>
          <w:szCs w:val="28"/>
        </w:rPr>
        <w:t>学制：</w:t>
      </w:r>
      <w:r>
        <w:rPr>
          <w:rFonts w:hint="eastAsia" w:ascii="仿宋_GB2312" w:hAnsi="仿宋" w:eastAsia="仿宋_GB2312" w:cs="Times New Roman"/>
          <w:color w:val="auto"/>
          <w:spacing w:val="0"/>
          <w:kern w:val="2"/>
          <w:sz w:val="28"/>
          <w:szCs w:val="28"/>
          <w:lang w:val="en-US" w:eastAsia="zh-CN"/>
        </w:rPr>
        <w:t>专升本专业标准学制2年，弹性学习年限为2-4年。各专业人才培养方案按标准学制设计，按学分制管理。</w:t>
      </w:r>
    </w:p>
    <w:p w14:paraId="510AB323">
      <w:pPr>
        <w:keepNext w:val="0"/>
        <w:keepLines w:val="0"/>
        <w:pageBreakBefore w:val="0"/>
        <w:kinsoku/>
        <w:wordWrap/>
        <w:overflowPunct/>
        <w:topLinePunct w:val="0"/>
        <w:autoSpaceDE/>
        <w:autoSpaceDN/>
        <w:bidi w:val="0"/>
        <w:adjustRightInd/>
        <w:snapToGrid w:val="0"/>
        <w:spacing w:line="360" w:lineRule="auto"/>
        <w:ind w:left="0" w:firstLine="562"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b/>
          <w:bCs/>
          <w:color w:val="auto"/>
          <w:spacing w:val="0"/>
          <w:kern w:val="2"/>
          <w:sz w:val="28"/>
          <w:szCs w:val="28"/>
          <w:lang w:val="en-US" w:eastAsia="zh-CN"/>
        </w:rPr>
        <w:t>2.</w:t>
      </w:r>
      <w:r>
        <w:rPr>
          <w:rFonts w:hint="eastAsia" w:ascii="仿宋_GB2312" w:hAnsi="仿宋" w:eastAsia="仿宋_GB2312" w:cs="Times New Roman"/>
          <w:b/>
          <w:bCs/>
          <w:color w:val="auto"/>
          <w:spacing w:val="0"/>
          <w:kern w:val="2"/>
          <w:sz w:val="28"/>
          <w:szCs w:val="28"/>
        </w:rPr>
        <w:t>学期：</w:t>
      </w:r>
      <w:r>
        <w:rPr>
          <w:rFonts w:hint="eastAsia" w:ascii="仿宋_GB2312" w:hAnsi="仿宋" w:eastAsia="仿宋_GB2312" w:cs="Times New Roman"/>
          <w:color w:val="auto"/>
          <w:spacing w:val="0"/>
          <w:kern w:val="2"/>
          <w:sz w:val="28"/>
          <w:szCs w:val="28"/>
        </w:rPr>
        <w:t>学校实行春、秋两学期制</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lang w:val="en-US" w:eastAsia="zh-CN"/>
        </w:rPr>
        <w:t>秋季</w:t>
      </w:r>
      <w:r>
        <w:rPr>
          <w:rFonts w:hint="eastAsia" w:ascii="仿宋_GB2312" w:hAnsi="仿宋" w:eastAsia="仿宋_GB2312" w:cs="Times New Roman"/>
          <w:color w:val="auto"/>
          <w:spacing w:val="0"/>
          <w:kern w:val="2"/>
          <w:sz w:val="28"/>
          <w:szCs w:val="28"/>
        </w:rPr>
        <w:t>学期一般</w:t>
      </w:r>
      <w:r>
        <w:rPr>
          <w:rFonts w:hint="eastAsia" w:ascii="仿宋_GB2312" w:hAnsi="仿宋" w:eastAsia="仿宋_GB2312" w:cs="Times New Roman"/>
          <w:color w:val="auto"/>
          <w:spacing w:val="0"/>
          <w:kern w:val="2"/>
          <w:sz w:val="28"/>
          <w:szCs w:val="28"/>
          <w:lang w:val="en-US" w:eastAsia="zh-CN"/>
        </w:rPr>
        <w:t>19</w:t>
      </w:r>
      <w:r>
        <w:rPr>
          <w:rFonts w:hint="eastAsia" w:ascii="仿宋_GB2312" w:hAnsi="仿宋" w:eastAsia="仿宋_GB2312" w:cs="Times New Roman"/>
          <w:color w:val="auto"/>
          <w:spacing w:val="0"/>
          <w:kern w:val="2"/>
          <w:sz w:val="28"/>
          <w:szCs w:val="28"/>
        </w:rPr>
        <w:t>周</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lang w:val="en-US" w:eastAsia="zh-CN"/>
        </w:rPr>
        <w:t>春季学期为18周，春季学期设置</w:t>
      </w:r>
      <w:r>
        <w:rPr>
          <w:rFonts w:hint="eastAsia" w:ascii="仿宋_GB2312" w:hAnsi="仿宋" w:eastAsia="仿宋_GB2312" w:cs="Times New Roman"/>
          <w:color w:val="auto"/>
          <w:spacing w:val="0"/>
          <w:kern w:val="2"/>
          <w:sz w:val="28"/>
          <w:szCs w:val="28"/>
        </w:rPr>
        <w:t>考试</w:t>
      </w:r>
      <w:r>
        <w:rPr>
          <w:rFonts w:hint="eastAsia" w:ascii="仿宋_GB2312" w:hAnsi="仿宋" w:eastAsia="仿宋_GB2312" w:cs="Times New Roman"/>
          <w:color w:val="auto"/>
          <w:spacing w:val="0"/>
          <w:kern w:val="2"/>
          <w:sz w:val="28"/>
          <w:szCs w:val="28"/>
          <w:lang w:val="en-US" w:eastAsia="zh-CN"/>
        </w:rPr>
        <w:t>1</w:t>
      </w:r>
      <w:r>
        <w:rPr>
          <w:rFonts w:hint="eastAsia" w:ascii="仿宋_GB2312" w:hAnsi="仿宋" w:eastAsia="仿宋_GB2312" w:cs="Times New Roman"/>
          <w:color w:val="auto"/>
          <w:spacing w:val="0"/>
          <w:kern w:val="2"/>
          <w:sz w:val="28"/>
          <w:szCs w:val="28"/>
        </w:rPr>
        <w:t>周。</w:t>
      </w:r>
    </w:p>
    <w:bookmarkEnd w:id="1"/>
    <w:p w14:paraId="23999F86">
      <w:pPr>
        <w:keepNext w:val="0"/>
        <w:keepLines w:val="0"/>
        <w:pageBreakBefore w:val="0"/>
        <w:kinsoku/>
        <w:wordWrap/>
        <w:overflowPunct/>
        <w:topLinePunct w:val="0"/>
        <w:autoSpaceDE/>
        <w:autoSpaceDN/>
        <w:bidi w:val="0"/>
        <w:adjustRightInd/>
        <w:snapToGrid w:val="0"/>
        <w:spacing w:line="360" w:lineRule="auto"/>
        <w:ind w:left="0" w:firstLine="624"/>
        <w:textAlignment w:val="auto"/>
        <w:rPr>
          <w:rFonts w:hint="eastAsia" w:ascii="黑体" w:hAnsi="黑体" w:eastAsia="黑体" w:cs="Times New Roman"/>
          <w:color w:val="auto"/>
          <w:spacing w:val="0"/>
          <w:kern w:val="2"/>
          <w:sz w:val="28"/>
          <w:szCs w:val="28"/>
          <w:lang w:val="en-US" w:eastAsia="zh-CN"/>
        </w:rPr>
      </w:pPr>
      <w:r>
        <w:rPr>
          <w:rFonts w:hint="eastAsia" w:ascii="黑体" w:hAnsi="黑体" w:eastAsia="黑体" w:cs="Times New Roman"/>
          <w:color w:val="auto"/>
          <w:spacing w:val="0"/>
          <w:kern w:val="2"/>
          <w:sz w:val="28"/>
          <w:szCs w:val="28"/>
          <w:lang w:val="en-US" w:eastAsia="zh-CN"/>
        </w:rPr>
        <w:t>六、修订流程与要求</w:t>
      </w:r>
    </w:p>
    <w:p w14:paraId="51969994">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（一）修订流程</w:t>
      </w:r>
    </w:p>
    <w:p w14:paraId="78A8206A">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1</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在分管教学副校长的领导下，</w:t>
      </w:r>
      <w:r>
        <w:rPr>
          <w:rFonts w:hint="eastAsia" w:ascii="仿宋_GB2312" w:hAnsi="仿宋" w:eastAsia="仿宋_GB2312" w:cs="Times New Roman"/>
          <w:color w:val="auto"/>
          <w:spacing w:val="0"/>
          <w:kern w:val="2"/>
          <w:sz w:val="28"/>
          <w:szCs w:val="28"/>
          <w:lang w:eastAsia="zh-CN"/>
        </w:rPr>
        <w:t>教研处</w:t>
      </w:r>
      <w:r>
        <w:rPr>
          <w:rFonts w:hint="eastAsia" w:ascii="仿宋_GB2312" w:hAnsi="仿宋" w:eastAsia="仿宋_GB2312" w:cs="Times New Roman"/>
          <w:color w:val="auto"/>
          <w:spacing w:val="0"/>
          <w:kern w:val="2"/>
          <w:sz w:val="28"/>
          <w:szCs w:val="28"/>
        </w:rPr>
        <w:t>制订人才培养方案</w:t>
      </w:r>
      <w:r>
        <w:rPr>
          <w:rFonts w:hint="eastAsia" w:ascii="仿宋_GB2312" w:hAnsi="仿宋" w:eastAsia="仿宋_GB2312" w:cs="Times New Roman"/>
          <w:color w:val="auto"/>
          <w:spacing w:val="0"/>
          <w:kern w:val="2"/>
          <w:sz w:val="28"/>
          <w:szCs w:val="28"/>
          <w:lang w:eastAsia="zh-CN"/>
        </w:rPr>
        <w:t>提出</w:t>
      </w:r>
      <w:r>
        <w:rPr>
          <w:rFonts w:hint="eastAsia" w:ascii="仿宋_GB2312" w:hAnsi="仿宋" w:eastAsia="仿宋_GB2312" w:cs="Times New Roman"/>
          <w:color w:val="auto"/>
          <w:spacing w:val="0"/>
          <w:kern w:val="2"/>
          <w:sz w:val="28"/>
          <w:szCs w:val="28"/>
        </w:rPr>
        <w:t>工作的指导性意见及具体工作要求，报学校审批后执行。</w:t>
      </w:r>
    </w:p>
    <w:p w14:paraId="2AC1F844">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2</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人才培养方案的制订实行二级学院院长负责制，各二级学院必须规范制订程序，制定工作计划，依照学校的指导性意见，开展人才培养方案的制定工作。</w:t>
      </w:r>
    </w:p>
    <w:p w14:paraId="1445B5C4">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3</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各二级学院专业</w:t>
      </w:r>
      <w:r>
        <w:rPr>
          <w:rFonts w:hint="eastAsia" w:ascii="仿宋_GB2312" w:hAnsi="仿宋" w:eastAsia="仿宋_GB2312" w:cs="Times New Roman"/>
          <w:color w:val="auto"/>
          <w:spacing w:val="0"/>
          <w:kern w:val="2"/>
          <w:sz w:val="28"/>
          <w:szCs w:val="28"/>
          <w:lang w:val="en-US" w:eastAsia="zh-CN"/>
        </w:rPr>
        <w:t>建设</w:t>
      </w:r>
      <w:r>
        <w:rPr>
          <w:rFonts w:hint="eastAsia" w:ascii="仿宋_GB2312" w:hAnsi="仿宋" w:eastAsia="仿宋_GB2312" w:cs="Times New Roman"/>
          <w:color w:val="auto"/>
          <w:spacing w:val="0"/>
          <w:kern w:val="2"/>
          <w:sz w:val="28"/>
          <w:szCs w:val="28"/>
        </w:rPr>
        <w:t>指导委员会负责指导各专业人才培养方案的制定和论证，论证专家中来自地方政府、行业企业和</w:t>
      </w:r>
      <w:r>
        <w:rPr>
          <w:rFonts w:hint="eastAsia" w:ascii="仿宋_GB2312" w:hAnsi="仿宋" w:eastAsia="仿宋_GB2312" w:cs="Times New Roman"/>
          <w:color w:val="auto"/>
          <w:spacing w:val="0"/>
          <w:kern w:val="2"/>
          <w:sz w:val="28"/>
          <w:szCs w:val="28"/>
          <w:lang w:val="en-US" w:eastAsia="zh-CN"/>
        </w:rPr>
        <w:t>用人单位</w:t>
      </w:r>
      <w:r>
        <w:rPr>
          <w:rFonts w:hint="eastAsia" w:ascii="仿宋_GB2312" w:hAnsi="仿宋" w:eastAsia="仿宋_GB2312" w:cs="Times New Roman"/>
          <w:color w:val="auto"/>
          <w:spacing w:val="0"/>
          <w:kern w:val="2"/>
          <w:sz w:val="28"/>
          <w:szCs w:val="28"/>
        </w:rPr>
        <w:t>代表</w:t>
      </w:r>
      <w:r>
        <w:rPr>
          <w:rFonts w:hint="eastAsia" w:ascii="仿宋_GB2312" w:hAnsi="仿宋" w:eastAsia="仿宋_GB2312" w:cs="Times New Roman"/>
          <w:color w:val="auto"/>
          <w:spacing w:val="0"/>
          <w:kern w:val="2"/>
          <w:sz w:val="28"/>
          <w:szCs w:val="28"/>
          <w:lang w:val="en-US" w:eastAsia="zh-CN"/>
        </w:rPr>
        <w:t>等</w:t>
      </w:r>
      <w:r>
        <w:rPr>
          <w:rFonts w:hint="eastAsia" w:ascii="仿宋_GB2312" w:hAnsi="仿宋" w:eastAsia="仿宋_GB2312" w:cs="Times New Roman"/>
          <w:color w:val="auto"/>
          <w:spacing w:val="0"/>
          <w:kern w:val="2"/>
          <w:sz w:val="28"/>
          <w:szCs w:val="28"/>
        </w:rPr>
        <w:t>不少于50%；各专业负责人负责组织本专业教师依据本学科专业特点、社会对人才的需求，结合学院实际制</w:t>
      </w:r>
      <w:r>
        <w:rPr>
          <w:rFonts w:hint="eastAsia" w:ascii="仿宋_GB2312" w:hAnsi="仿宋" w:eastAsia="仿宋_GB2312" w:cs="Times New Roman"/>
          <w:color w:val="auto"/>
          <w:spacing w:val="0"/>
          <w:kern w:val="2"/>
          <w:sz w:val="28"/>
          <w:szCs w:val="28"/>
          <w:lang w:val="en-US" w:eastAsia="zh-CN"/>
        </w:rPr>
        <w:t>订</w:t>
      </w:r>
      <w:r>
        <w:rPr>
          <w:rFonts w:hint="eastAsia" w:ascii="仿宋_GB2312" w:hAnsi="仿宋" w:eastAsia="仿宋_GB2312" w:cs="Times New Roman"/>
          <w:color w:val="auto"/>
          <w:spacing w:val="0"/>
          <w:kern w:val="2"/>
          <w:sz w:val="28"/>
          <w:szCs w:val="28"/>
        </w:rPr>
        <w:t>各专业人才培养方案。</w:t>
      </w:r>
    </w:p>
    <w:p w14:paraId="471FF8ED">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4</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各专业人才培养方案经各二级学院</w:t>
      </w:r>
      <w:r>
        <w:rPr>
          <w:rFonts w:hint="eastAsia" w:ascii="仿宋_GB2312" w:hAnsi="仿宋" w:eastAsia="仿宋_GB2312" w:cs="Times New Roman"/>
          <w:color w:val="auto"/>
          <w:spacing w:val="0"/>
          <w:kern w:val="2"/>
          <w:sz w:val="28"/>
          <w:szCs w:val="28"/>
          <w:lang w:val="en-US" w:eastAsia="zh-CN"/>
        </w:rPr>
        <w:t>专业建设</w:t>
      </w:r>
      <w:r>
        <w:rPr>
          <w:rFonts w:hint="eastAsia" w:ascii="仿宋_GB2312" w:hAnsi="仿宋" w:eastAsia="仿宋_GB2312" w:cs="Times New Roman"/>
          <w:color w:val="auto"/>
          <w:spacing w:val="0"/>
          <w:kern w:val="2"/>
          <w:sz w:val="28"/>
          <w:szCs w:val="28"/>
        </w:rPr>
        <w:t>指导委员会审议通过，并经二级学院院长签字盖章后，提交学校</w:t>
      </w:r>
      <w:r>
        <w:rPr>
          <w:rFonts w:hint="eastAsia" w:ascii="仿宋_GB2312" w:hAnsi="仿宋" w:eastAsia="仿宋_GB2312" w:cs="Times New Roman"/>
          <w:color w:val="auto"/>
          <w:spacing w:val="0"/>
          <w:kern w:val="2"/>
          <w:sz w:val="28"/>
          <w:szCs w:val="28"/>
          <w:lang w:eastAsia="zh-CN"/>
        </w:rPr>
        <w:t>教研处</w:t>
      </w:r>
      <w:r>
        <w:rPr>
          <w:rFonts w:hint="eastAsia" w:ascii="仿宋_GB2312" w:hAnsi="仿宋" w:eastAsia="仿宋_GB2312" w:cs="Times New Roman"/>
          <w:color w:val="auto"/>
          <w:spacing w:val="0"/>
          <w:kern w:val="2"/>
          <w:sz w:val="28"/>
          <w:szCs w:val="28"/>
        </w:rPr>
        <w:t>。</w:t>
      </w:r>
    </w:p>
    <w:p w14:paraId="7DD8045D">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5</w:t>
      </w:r>
      <w:r>
        <w:rPr>
          <w:rFonts w:hint="eastAsia" w:ascii="仿宋_GB2312" w:hAnsi="仿宋" w:eastAsia="仿宋_GB2312" w:cs="Times New Roman"/>
          <w:color w:val="auto"/>
          <w:spacing w:val="0"/>
          <w:kern w:val="2"/>
          <w:sz w:val="28"/>
          <w:szCs w:val="28"/>
          <w:lang w:eastAsia="zh-CN"/>
        </w:rPr>
        <w:t>．教研处</w:t>
      </w:r>
      <w:r>
        <w:rPr>
          <w:rFonts w:hint="eastAsia" w:ascii="仿宋_GB2312" w:hAnsi="仿宋" w:eastAsia="仿宋_GB2312" w:cs="Times New Roman"/>
          <w:color w:val="auto"/>
          <w:spacing w:val="0"/>
          <w:kern w:val="2"/>
          <w:sz w:val="28"/>
          <w:szCs w:val="28"/>
        </w:rPr>
        <w:t>统一汇总全校各专业的人才培养方案，组织校外专家审核论证，二级学院根据外审或答辩反馈意见进行进一步完善。最后提交学校教学指导委员会审议通过后，由学校主管副校长签字下发执行。</w:t>
      </w:r>
    </w:p>
    <w:p w14:paraId="5F6907D0">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楷体" w:hAnsi="楷体" w:eastAsia="楷体" w:cs="Times New Roman"/>
          <w:color w:val="auto"/>
          <w:spacing w:val="0"/>
          <w:kern w:val="2"/>
          <w:sz w:val="28"/>
          <w:szCs w:val="28"/>
          <w:shd w:val="clear" w:color="auto" w:fill="FFFFFF"/>
          <w:lang w:val="en-US" w:eastAsia="zh-CN"/>
        </w:rPr>
      </w:pPr>
      <w:r>
        <w:rPr>
          <w:rFonts w:hint="eastAsia" w:ascii="楷体" w:hAnsi="楷体" w:eastAsia="楷体" w:cs="Times New Roman"/>
          <w:color w:val="auto"/>
          <w:spacing w:val="0"/>
          <w:kern w:val="2"/>
          <w:sz w:val="28"/>
          <w:szCs w:val="28"/>
          <w:shd w:val="clear" w:color="auto" w:fill="FFFFFF"/>
          <w:lang w:val="en-US" w:eastAsia="zh-CN"/>
        </w:rPr>
        <w:t>（二）工作要求</w:t>
      </w:r>
    </w:p>
    <w:p w14:paraId="37352CBF">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rPr>
        <w:t>1</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落实责任，完善机构</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人才培养方案是学校实现人才培养目标的设计蓝图，是学校组织教学、安排教学任务的主要依据，也是评估专家必查的基础性教学文件。因此，各二级学院要提高认识，高度重视此项工作，要成立由主要领导担任组长、各专业负责人、教授（或副教授）、校外行业专家组成的培养方案制定工作小组，充分调研，广泛听取用人单位、学生等各方意见，吸纳行业企业参与，科学合理制定202</w:t>
      </w:r>
      <w:r>
        <w:rPr>
          <w:rFonts w:hint="eastAsia" w:ascii="仿宋_GB2312" w:hAnsi="仿宋" w:eastAsia="仿宋_GB2312" w:cs="Times New Roman"/>
          <w:color w:val="auto"/>
          <w:spacing w:val="0"/>
          <w:kern w:val="2"/>
          <w:sz w:val="28"/>
          <w:szCs w:val="28"/>
          <w:lang w:val="en-US" w:eastAsia="zh-CN"/>
        </w:rPr>
        <w:t>4级专升本</w:t>
      </w:r>
      <w:r>
        <w:rPr>
          <w:rFonts w:hint="eastAsia" w:ascii="仿宋_GB2312" w:hAnsi="仿宋" w:eastAsia="仿宋_GB2312" w:cs="Times New Roman"/>
          <w:color w:val="auto"/>
          <w:spacing w:val="0"/>
          <w:kern w:val="2"/>
          <w:sz w:val="28"/>
          <w:szCs w:val="28"/>
        </w:rPr>
        <w:t>专业人才培养方案。</w:t>
      </w:r>
    </w:p>
    <w:p w14:paraId="480BE28D">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pPr>
      <w:r>
        <w:rPr>
          <w:rFonts w:hint="eastAsia" w:ascii="仿宋_GB2312" w:hAnsi="仿宋" w:eastAsia="仿宋_GB2312" w:cs="Times New Roman"/>
          <w:color w:val="auto"/>
          <w:spacing w:val="0"/>
          <w:kern w:val="2"/>
          <w:sz w:val="28"/>
          <w:szCs w:val="28"/>
          <w:lang w:val="en-US" w:eastAsia="zh-CN"/>
        </w:rPr>
        <w:t>2</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加强学习，把握要求</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各二级学院必须认真学习国家、自治区及学校相关文件，准确把握文件的内涵和要求，严格按照文件要求修订各专业人才培养方案，确保各项指标都达到国家相关文件的要求。</w:t>
      </w:r>
    </w:p>
    <w:p w14:paraId="69AF7D87">
      <w:pPr>
        <w:keepNext w:val="0"/>
        <w:keepLines w:val="0"/>
        <w:pageBreakBefore w:val="0"/>
        <w:kinsoku/>
        <w:wordWrap/>
        <w:overflowPunct/>
        <w:topLinePunct w:val="0"/>
        <w:autoSpaceDE/>
        <w:autoSpaceDN/>
        <w:bidi w:val="0"/>
        <w:adjustRightInd/>
        <w:snapToGrid w:val="0"/>
        <w:spacing w:line="360" w:lineRule="auto"/>
        <w:ind w:left="0" w:firstLine="560" w:firstLineChars="200"/>
        <w:textAlignment w:val="auto"/>
        <w:rPr>
          <w:rFonts w:hint="eastAsia" w:ascii="仿宋_GB2312" w:hAnsi="仿宋" w:eastAsia="仿宋_GB2312" w:cs="Times New Roman"/>
          <w:color w:val="auto"/>
          <w:spacing w:val="0"/>
          <w:kern w:val="2"/>
          <w:sz w:val="28"/>
          <w:szCs w:val="28"/>
        </w:rPr>
        <w:sectPr>
          <w:pgSz w:w="11906" w:h="16838"/>
          <w:pgMar w:top="1417" w:right="1417" w:bottom="1417" w:left="1417" w:header="851" w:footer="992" w:gutter="0"/>
          <w:pgNumType w:fmt="decimal"/>
          <w:cols w:space="720" w:num="1"/>
          <w:rtlGutter w:val="0"/>
          <w:docGrid w:type="lines" w:linePitch="312" w:charSpace="0"/>
        </w:sectPr>
      </w:pPr>
      <w:r>
        <w:rPr>
          <w:rFonts w:hint="eastAsia" w:ascii="仿宋_GB2312" w:hAnsi="仿宋" w:eastAsia="仿宋_GB2312" w:cs="Times New Roman"/>
          <w:color w:val="auto"/>
          <w:spacing w:val="0"/>
          <w:kern w:val="2"/>
          <w:sz w:val="28"/>
          <w:szCs w:val="28"/>
          <w:lang w:val="en-US" w:eastAsia="zh-CN"/>
        </w:rPr>
        <w:t>3</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认真把关，保证质量</w:t>
      </w:r>
      <w:r>
        <w:rPr>
          <w:rFonts w:hint="eastAsia" w:ascii="仿宋_GB2312" w:hAnsi="仿宋" w:eastAsia="仿宋_GB2312" w:cs="Times New Roman"/>
          <w:color w:val="auto"/>
          <w:spacing w:val="0"/>
          <w:kern w:val="2"/>
          <w:sz w:val="28"/>
          <w:szCs w:val="28"/>
          <w:lang w:eastAsia="zh-CN"/>
        </w:rPr>
        <w:t>。</w:t>
      </w:r>
      <w:r>
        <w:rPr>
          <w:rFonts w:hint="eastAsia" w:ascii="仿宋_GB2312" w:hAnsi="仿宋" w:eastAsia="仿宋_GB2312" w:cs="Times New Roman"/>
          <w:color w:val="auto"/>
          <w:spacing w:val="0"/>
          <w:kern w:val="2"/>
          <w:sz w:val="28"/>
          <w:szCs w:val="28"/>
        </w:rPr>
        <w:t>各二级学院要组织高水平的专家团队对202</w:t>
      </w:r>
      <w:r>
        <w:rPr>
          <w:rFonts w:hint="eastAsia" w:ascii="仿宋_GB2312" w:hAnsi="仿宋" w:eastAsia="仿宋_GB2312" w:cs="Times New Roman"/>
          <w:color w:val="auto"/>
          <w:spacing w:val="0"/>
          <w:kern w:val="2"/>
          <w:sz w:val="28"/>
          <w:szCs w:val="28"/>
          <w:lang w:val="en-US" w:eastAsia="zh-CN"/>
        </w:rPr>
        <w:t>4级</w:t>
      </w:r>
      <w:r>
        <w:rPr>
          <w:rFonts w:hint="eastAsia" w:ascii="仿宋_GB2312" w:hAnsi="仿宋" w:eastAsia="仿宋_GB2312" w:cs="Times New Roman"/>
          <w:color w:val="auto"/>
          <w:spacing w:val="0"/>
          <w:kern w:val="2"/>
          <w:sz w:val="28"/>
          <w:szCs w:val="28"/>
        </w:rPr>
        <w:t>人才培养方案进行认真全面审核把关，确保方案设计科学合理，数据准确无误。</w:t>
      </w:r>
    </w:p>
    <w:p w14:paraId="3DE17A45">
      <w:pPr>
        <w:keepNext w:val="0"/>
        <w:keepLines w:val="0"/>
        <w:pageBreakBefore w:val="0"/>
        <w:widowControl w:val="0"/>
        <w:kinsoku/>
        <w:wordWrap/>
        <w:overflowPunct/>
        <w:topLinePunct w:val="0"/>
        <w:autoSpaceDE/>
        <w:autoSpaceDN/>
        <w:bidi w:val="0"/>
        <w:adjustRightInd/>
        <w:spacing w:line="360" w:lineRule="auto"/>
        <w:ind w:left="0"/>
        <w:textAlignment w:val="auto"/>
        <w:rPr>
          <w:rFonts w:hint="eastAsia" w:ascii="宋体" w:hAnsi="宋体" w:eastAsia="宋体" w:cs="宋体"/>
          <w:sz w:val="24"/>
          <w:szCs w:val="24"/>
        </w:rPr>
      </w:pPr>
      <w:bookmarkStart w:id="3" w:name="_GoBack"/>
    </w:p>
    <w:bookmarkEnd w:id="3"/>
    <w:sectPr>
      <w:pgSz w:w="11906" w:h="16838"/>
      <w:pgMar w:top="1417" w:right="1474"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E16FA2-FFBD-4E31-B747-7D7FA54BF4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16D3454A-D0D2-45C8-A98A-15D570B94CC6}"/>
  </w:font>
  <w:font w:name="仿宋_GB2312">
    <w:altName w:val="仿宋"/>
    <w:panose1 w:val="02010609030101010101"/>
    <w:charset w:val="86"/>
    <w:family w:val="modern"/>
    <w:pitch w:val="default"/>
    <w:sig w:usb0="00000000" w:usb1="00000000" w:usb2="00000000" w:usb3="00000000" w:csb0="00040000" w:csb1="00000000"/>
    <w:embedRegular r:id="rId3" w:fontKey="{C24B6459-432B-45AC-8DC2-87CE4035116C}"/>
  </w:font>
  <w:font w:name="仿宋">
    <w:panose1 w:val="02010609060101010101"/>
    <w:charset w:val="86"/>
    <w:family w:val="modern"/>
    <w:pitch w:val="default"/>
    <w:sig w:usb0="800002BF" w:usb1="38CF7CFA" w:usb2="00000016" w:usb3="00000000" w:csb0="00040001" w:csb1="00000000"/>
    <w:embedRegular r:id="rId4" w:fontKey="{B6E4C8E3-C239-4BCA-ADDE-6ABF5E81E0C2}"/>
  </w:font>
  <w:font w:name="楷体">
    <w:panose1 w:val="02010609060101010101"/>
    <w:charset w:val="86"/>
    <w:family w:val="modern"/>
    <w:pitch w:val="default"/>
    <w:sig w:usb0="800002BF" w:usb1="38CF7CFA" w:usb2="00000016" w:usb3="00000000" w:csb0="00040001" w:csb1="00000000"/>
    <w:embedRegular r:id="rId5" w:fontKey="{3C20A468-9AD9-4DFA-95CC-3F2DB7C8F12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ODEzMzg5ZmUyMDJlYzgxYzA3MTk5NTYwYzA2ODAifQ=="/>
  </w:docVars>
  <w:rsids>
    <w:rsidRoot w:val="00172A27"/>
    <w:rsid w:val="024D2F9B"/>
    <w:rsid w:val="14720D20"/>
    <w:rsid w:val="16F507F3"/>
    <w:rsid w:val="19EC74D0"/>
    <w:rsid w:val="35B56C37"/>
    <w:rsid w:val="419876BF"/>
    <w:rsid w:val="5BC36435"/>
    <w:rsid w:val="5FF844DE"/>
    <w:rsid w:val="6083720F"/>
    <w:rsid w:val="66BB737B"/>
    <w:rsid w:val="773B5AB4"/>
    <w:rsid w:val="7E877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5632"/>
      <w:jc w:val="both"/>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4603</Words>
  <Characters>4682</Characters>
  <Lines>0</Lines>
  <Paragraphs>0</Paragraphs>
  <TotalTime>0</TotalTime>
  <ScaleCrop>false</ScaleCrop>
  <LinksUpToDate>false</LinksUpToDate>
  <CharactersWithSpaces>4693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2024-07-12T02:28:00Z</dcterms:created>
  <dc:creator>lyl</dc:creator>
  <cp:lastModifiedBy>lyl</cp:lastModifiedBy>
  <dcterms:modified xsi:type="dcterms:W3CDTF">2024-07-22T01:52:23Z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D3342083C7BA4E358F2AF0FE1B4F7DC6_11</vt:lpwstr>
  </property>
</Properties>
</file>