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8A6468">
      <w:pPr>
        <w:keepNext w:val="0"/>
        <w:keepLines w:val="0"/>
        <w:pageBreakBefore w:val="0"/>
        <w:kinsoku/>
        <w:wordWrap/>
        <w:overflowPunct/>
        <w:topLinePunct w:val="0"/>
        <w:autoSpaceDE/>
        <w:autoSpaceDN/>
        <w:bidi w:val="0"/>
        <w:adjustRightInd/>
        <w:snapToGrid/>
        <w:spacing w:line="560" w:lineRule="exact"/>
        <w:jc w:val="center"/>
        <w:textAlignment w:val="auto"/>
        <w:rPr>
          <w:rFonts w:ascii="黑体" w:hAnsi="黑体" w:eastAsia="黑体" w:cs="黑体"/>
          <w:b/>
          <w:bCs/>
          <w:sz w:val="36"/>
          <w:szCs w:val="36"/>
        </w:rPr>
      </w:pPr>
      <w:r>
        <w:rPr>
          <w:rFonts w:hint="eastAsia" w:ascii="黑体" w:hAnsi="黑体" w:eastAsia="黑体" w:cs="黑体"/>
          <w:b/>
          <w:bCs/>
          <w:sz w:val="36"/>
          <w:szCs w:val="36"/>
          <w:lang w:val="en-US" w:eastAsia="zh-CN"/>
        </w:rPr>
        <w:t>南宁理工</w:t>
      </w:r>
      <w:r>
        <w:rPr>
          <w:rFonts w:hint="eastAsia" w:ascii="黑体" w:hAnsi="黑体" w:eastAsia="黑体" w:cs="黑体"/>
          <w:b/>
          <w:bCs/>
          <w:sz w:val="36"/>
          <w:szCs w:val="36"/>
        </w:rPr>
        <w:t>学院</w:t>
      </w:r>
    </w:p>
    <w:p w14:paraId="2E0371ED">
      <w:pPr>
        <w:keepNext w:val="0"/>
        <w:keepLines w:val="0"/>
        <w:pageBreakBefore w:val="0"/>
        <w:kinsoku/>
        <w:wordWrap/>
        <w:overflowPunct/>
        <w:topLinePunct w:val="0"/>
        <w:autoSpaceDE/>
        <w:autoSpaceDN/>
        <w:bidi w:val="0"/>
        <w:adjustRightInd/>
        <w:snapToGrid/>
        <w:spacing w:line="560" w:lineRule="exact"/>
        <w:jc w:val="center"/>
        <w:textAlignment w:val="auto"/>
        <w:rPr>
          <w:rFonts w:ascii="黑体" w:hAnsi="黑体" w:eastAsia="黑体" w:cs="黑体"/>
          <w:sz w:val="28"/>
          <w:szCs w:val="28"/>
        </w:rPr>
      </w:pPr>
      <w:r>
        <w:rPr>
          <w:rFonts w:hint="eastAsia" w:ascii="黑体" w:hAnsi="黑体" w:eastAsia="黑体" w:cs="黑体"/>
          <w:b/>
          <w:bCs/>
          <w:sz w:val="36"/>
          <w:szCs w:val="36"/>
        </w:rPr>
        <w:t>202</w:t>
      </w:r>
      <w:r>
        <w:rPr>
          <w:rFonts w:hint="eastAsia" w:ascii="黑体" w:hAnsi="黑体" w:eastAsia="黑体" w:cs="黑体"/>
          <w:b/>
          <w:bCs/>
          <w:sz w:val="36"/>
          <w:szCs w:val="36"/>
          <w:lang w:val="en-US" w:eastAsia="zh-CN"/>
        </w:rPr>
        <w:t>4</w:t>
      </w:r>
      <w:r>
        <w:rPr>
          <w:rFonts w:hint="eastAsia" w:ascii="黑体" w:hAnsi="黑体" w:eastAsia="黑体" w:cs="黑体"/>
          <w:b/>
          <w:bCs/>
          <w:sz w:val="36"/>
          <w:szCs w:val="36"/>
        </w:rPr>
        <w:t>版本科专业人才培养方案制（修）订指导意见</w:t>
      </w:r>
    </w:p>
    <w:p w14:paraId="7CD1B11A">
      <w:pPr>
        <w:keepNext w:val="0"/>
        <w:keepLines w:val="0"/>
        <w:pageBreakBefore w:val="0"/>
        <w:kinsoku/>
        <w:wordWrap/>
        <w:overflowPunct/>
        <w:topLinePunct w:val="0"/>
        <w:autoSpaceDE/>
        <w:autoSpaceDN/>
        <w:bidi w:val="0"/>
        <w:adjustRightInd/>
        <w:snapToGrid/>
        <w:spacing w:line="560" w:lineRule="exact"/>
        <w:textAlignment w:val="auto"/>
      </w:pPr>
    </w:p>
    <w:p w14:paraId="741BF109">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rPr>
          <w:rFonts w:hint="default" w:ascii="仿宋_GB2312" w:hAnsi="仿宋_GB2312" w:eastAsia="仿宋_GB2312" w:cs="仿宋_GB2312"/>
          <w:color w:val="0070C0"/>
          <w:sz w:val="30"/>
          <w:szCs w:val="30"/>
          <w:lang w:val="en-US" w:eastAsia="zh-CN"/>
        </w:rPr>
      </w:pPr>
      <w:r>
        <w:rPr>
          <w:rFonts w:hint="eastAsia" w:ascii="仿宋_GB2312" w:hAnsi="仿宋_GB2312" w:eastAsia="仿宋_GB2312" w:cs="仿宋_GB2312"/>
          <w:sz w:val="30"/>
          <w:szCs w:val="30"/>
        </w:rPr>
        <w:t>为深入</w:t>
      </w:r>
      <w:r>
        <w:rPr>
          <w:rFonts w:hint="default" w:ascii="仿宋_GB2312" w:hAnsi="仿宋_GB2312" w:eastAsia="仿宋_GB2312" w:cs="仿宋_GB2312"/>
          <w:sz w:val="30"/>
          <w:szCs w:val="30"/>
          <w:lang w:val="en-US"/>
        </w:rPr>
        <w:t>学习</w:t>
      </w:r>
      <w:r>
        <w:rPr>
          <w:rFonts w:hint="eastAsia" w:ascii="仿宋_GB2312" w:hAnsi="仿宋_GB2312" w:eastAsia="仿宋_GB2312" w:cs="仿宋_GB2312"/>
          <w:sz w:val="30"/>
          <w:szCs w:val="30"/>
        </w:rPr>
        <w:t>贯彻习近平新时代中国特色社会主义思想，全面落实党的二十大精神以及全国教育工作会议精神，根据《深化新时代教育评价改革总体方案》《教育部关于加快建设高水平本科教育 全面提高人才培养能力的意见》（教高〔2018〕2号）</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《普通高等学校本科专业类教学质量国家标准》（以下简称“国家标准”）</w:t>
      </w:r>
      <w:r>
        <w:rPr>
          <w:rFonts w:hint="eastAsia" w:ascii="仿宋_GB2312" w:hAnsi="仿宋_GB2312" w:eastAsia="仿宋_GB2312" w:cs="仿宋_GB2312"/>
          <w:sz w:val="30"/>
          <w:szCs w:val="30"/>
          <w:lang w:val="en-US" w:eastAsia="zh-CN"/>
        </w:rPr>
        <w:t>等文件要求</w:t>
      </w:r>
      <w:r>
        <w:rPr>
          <w:rFonts w:hint="eastAsia" w:ascii="仿宋_GB2312" w:hAnsi="仿宋_GB2312" w:eastAsia="仿宋_GB2312" w:cs="仿宋_GB2312"/>
          <w:sz w:val="30"/>
          <w:szCs w:val="30"/>
        </w:rPr>
        <w:t>，经学校研究，决定开展2024版本科人才培养方案</w:t>
      </w:r>
      <w:r>
        <w:rPr>
          <w:rFonts w:hint="eastAsia" w:ascii="仿宋_GB2312" w:hAnsi="仿宋_GB2312" w:eastAsia="仿宋_GB2312" w:cs="仿宋_GB2312"/>
          <w:sz w:val="30"/>
          <w:szCs w:val="30"/>
          <w:lang w:val="en-US" w:eastAsia="zh-CN"/>
        </w:rPr>
        <w:t>编制</w:t>
      </w:r>
      <w:r>
        <w:rPr>
          <w:rFonts w:hint="eastAsia" w:ascii="仿宋_GB2312" w:hAnsi="仿宋_GB2312" w:eastAsia="仿宋_GB2312" w:cs="仿宋_GB2312"/>
          <w:sz w:val="30"/>
          <w:szCs w:val="30"/>
        </w:rPr>
        <w:t>工作，现提出如下指导性意见。</w:t>
      </w:r>
    </w:p>
    <w:p w14:paraId="285E43BD">
      <w:pPr>
        <w:keepNext w:val="0"/>
        <w:keepLines w:val="0"/>
        <w:pageBreakBefore w:val="0"/>
        <w:kinsoku/>
        <w:wordWrap/>
        <w:overflowPunct/>
        <w:topLinePunct w:val="0"/>
        <w:autoSpaceDE/>
        <w:autoSpaceDN/>
        <w:bidi w:val="0"/>
        <w:adjustRightInd/>
        <w:snapToGrid/>
        <w:spacing w:line="560" w:lineRule="exact"/>
        <w:ind w:firstLine="602" w:firstLineChars="200"/>
        <w:jc w:val="both"/>
        <w:textAlignment w:val="auto"/>
        <w:rPr>
          <w:rFonts w:hint="eastAsia" w:ascii="仿宋_GB2312" w:hAnsi="仿宋_GB2312" w:eastAsia="仿宋_GB2312" w:cs="仿宋_GB2312"/>
          <w:b/>
          <w:bCs/>
          <w:sz w:val="30"/>
          <w:szCs w:val="30"/>
          <w:lang w:val="en-US" w:eastAsia="zh-CN"/>
        </w:rPr>
      </w:pPr>
      <w:r>
        <w:rPr>
          <w:rFonts w:hint="eastAsia" w:ascii="仿宋_GB2312" w:hAnsi="仿宋_GB2312" w:eastAsia="仿宋_GB2312" w:cs="仿宋_GB2312"/>
          <w:b/>
          <w:bCs/>
          <w:sz w:val="30"/>
          <w:szCs w:val="30"/>
          <w:lang w:val="en-US" w:eastAsia="zh-CN"/>
        </w:rPr>
        <w:t>一、指导思想</w:t>
      </w:r>
    </w:p>
    <w:p w14:paraId="56086A46">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以习近平新时代中国特色社会主义思想为指导，全面贯彻党的教育方针，坚持社会主义办学方向，落实立德树人根本任务，遵循教育规律，立足广西，面向全国，辐射东盟</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服务地方</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服务行业</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u w:val="none"/>
          <w:lang w:val="en-US" w:eastAsia="zh-CN"/>
        </w:rPr>
        <w:t>落实“学生中心、产出导向、持续改进”教育理念，</w:t>
      </w:r>
      <w:r>
        <w:rPr>
          <w:rFonts w:hint="eastAsia" w:ascii="仿宋_GB2312" w:hAnsi="仿宋_GB2312" w:eastAsia="仿宋_GB2312" w:cs="仿宋_GB2312"/>
          <w:sz w:val="30"/>
          <w:szCs w:val="30"/>
        </w:rPr>
        <w:t>全面优化本科人才培养目标、毕业要求、课程体系，培养思想品德优良、知识结构合理、实践能力突出、创新意识和创业能力</w:t>
      </w:r>
      <w:r>
        <w:rPr>
          <w:rFonts w:hint="eastAsia" w:ascii="仿宋_GB2312" w:hAnsi="仿宋_GB2312" w:eastAsia="仿宋_GB2312" w:cs="仿宋_GB2312"/>
          <w:color w:val="000000" w:themeColor="text1"/>
          <w:sz w:val="30"/>
          <w:szCs w:val="30"/>
          <w14:textFill>
            <w14:solidFill>
              <w14:schemeClr w14:val="tx1"/>
            </w14:solidFill>
          </w14:textFill>
        </w:rPr>
        <w:t>强的</w:t>
      </w: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德智体美劳全面发展的</w:t>
      </w:r>
      <w:r>
        <w:rPr>
          <w:rFonts w:hint="eastAsia" w:ascii="仿宋_GB2312" w:hAnsi="仿宋_GB2312" w:eastAsia="仿宋_GB2312" w:cs="仿宋_GB2312"/>
          <w:color w:val="000000" w:themeColor="text1"/>
          <w:sz w:val="30"/>
          <w:szCs w:val="30"/>
          <w14:textFill>
            <w14:solidFill>
              <w14:schemeClr w14:val="tx1"/>
            </w14:solidFill>
          </w14:textFill>
        </w:rPr>
        <w:t>高素质</w:t>
      </w:r>
      <w:r>
        <w:rPr>
          <w:rFonts w:hint="eastAsia" w:ascii="仿宋_GB2312" w:hAnsi="仿宋_GB2312" w:eastAsia="仿宋_GB2312" w:cs="仿宋_GB2312"/>
          <w:color w:val="000000"/>
          <w:sz w:val="30"/>
          <w:szCs w:val="30"/>
        </w:rPr>
        <w:t>应用型人才</w:t>
      </w:r>
      <w:r>
        <w:rPr>
          <w:rFonts w:hint="eastAsia" w:ascii="仿宋_GB2312" w:hAnsi="仿宋_GB2312" w:eastAsia="仿宋_GB2312" w:cs="仿宋_GB2312"/>
          <w:sz w:val="30"/>
          <w:szCs w:val="30"/>
        </w:rPr>
        <w:t>。</w:t>
      </w:r>
    </w:p>
    <w:p w14:paraId="3C4060F0">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rPr>
          <w:rFonts w:hint="eastAsia" w:ascii="仿宋_GB2312" w:hAnsi="仿宋_GB2312" w:eastAsia="仿宋_GB2312" w:cs="仿宋_GB2312"/>
          <w:b/>
          <w:bCs/>
          <w:sz w:val="30"/>
          <w:szCs w:val="30"/>
          <w:u w:val="none"/>
          <w:lang w:val="en-US" w:eastAsia="zh-CN"/>
        </w:rPr>
      </w:pPr>
      <w:r>
        <w:rPr>
          <w:rFonts w:hint="eastAsia" w:ascii="仿宋_GB2312" w:hAnsi="仿宋_GB2312" w:eastAsia="仿宋_GB2312" w:cs="仿宋_GB2312"/>
          <w:b/>
          <w:bCs/>
          <w:sz w:val="30"/>
          <w:szCs w:val="30"/>
          <w:u w:val="none"/>
          <w:lang w:val="en-US" w:eastAsia="zh-CN"/>
        </w:rPr>
        <w:t>二、基本原则</w:t>
      </w:r>
    </w:p>
    <w:p w14:paraId="3F49803D">
      <w:pPr>
        <w:keepNext w:val="0"/>
        <w:keepLines w:val="0"/>
        <w:pageBreakBefore w:val="0"/>
        <w:widowControl/>
        <w:suppressLineNumbers w:val="0"/>
        <w:kinsoku/>
        <w:wordWrap/>
        <w:overflowPunct/>
        <w:topLinePunct w:val="0"/>
        <w:autoSpaceDE/>
        <w:autoSpaceDN/>
        <w:bidi w:val="0"/>
        <w:adjustRightInd/>
        <w:snapToGrid/>
        <w:spacing w:line="560" w:lineRule="exact"/>
        <w:ind w:firstLine="602" w:firstLineChars="200"/>
        <w:jc w:val="left"/>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b/>
          <w:bCs/>
          <w:color w:val="000000"/>
          <w:kern w:val="0"/>
          <w:sz w:val="30"/>
          <w:szCs w:val="30"/>
          <w:lang w:val="en-US" w:eastAsia="zh-CN" w:bidi="ar"/>
        </w:rPr>
        <w:t xml:space="preserve">（一）坚持立德树人、全面发展 </w:t>
      </w:r>
    </w:p>
    <w:p w14:paraId="25641A86">
      <w:pPr>
        <w:keepNext w:val="0"/>
        <w:keepLines w:val="0"/>
        <w:pageBreakBefore w:val="0"/>
        <w:widowControl/>
        <w:suppressLineNumbers w:val="0"/>
        <w:kinsoku/>
        <w:wordWrap/>
        <w:overflowPunct/>
        <w:topLinePunct w:val="0"/>
        <w:autoSpaceDE/>
        <w:autoSpaceDN/>
        <w:bidi w:val="0"/>
        <w:adjustRightInd/>
        <w:snapToGrid/>
        <w:spacing w:line="560" w:lineRule="exact"/>
        <w:ind w:firstLine="60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color w:val="000000"/>
          <w:kern w:val="0"/>
          <w:sz w:val="30"/>
          <w:szCs w:val="30"/>
          <w:lang w:val="en-US" w:eastAsia="zh-CN" w:bidi="ar"/>
        </w:rPr>
        <w:t>坚持正确的政治方向，全面落实立德树人根本任务；坚持用习近平新时代中国特色社会主义思想铸魂育人，培育和践行社会主义核心价值观；坚持以文化人、以德育人，不断提高学生思想水平、政治觉悟、道德品质、文化素养；坚持五育并举，强化三全育人，全面推进课程思政，实现价值引领、知识传授、能力培养的有机融合，促进学生德智体美劳全面发展。</w:t>
      </w:r>
    </w:p>
    <w:p w14:paraId="46F0613D">
      <w:pPr>
        <w:keepNext w:val="0"/>
        <w:keepLines w:val="0"/>
        <w:pageBreakBefore w:val="0"/>
        <w:widowControl/>
        <w:suppressLineNumbers w:val="0"/>
        <w:kinsoku/>
        <w:wordWrap/>
        <w:overflowPunct/>
        <w:topLinePunct w:val="0"/>
        <w:autoSpaceDE/>
        <w:autoSpaceDN/>
        <w:bidi w:val="0"/>
        <w:adjustRightInd/>
        <w:snapToGrid/>
        <w:spacing w:line="560" w:lineRule="exact"/>
        <w:ind w:firstLine="602"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b/>
          <w:bCs/>
          <w:color w:val="000000"/>
          <w:kern w:val="0"/>
          <w:sz w:val="30"/>
          <w:szCs w:val="30"/>
          <w:lang w:val="en-US" w:eastAsia="zh-CN" w:bidi="ar"/>
        </w:rPr>
        <w:t>（二）坚持学生中心、产出导向</w:t>
      </w:r>
      <w:r>
        <w:rPr>
          <w:rFonts w:hint="eastAsia" w:ascii="仿宋_GB2312" w:hAnsi="仿宋_GB2312" w:eastAsia="仿宋_GB2312" w:cs="仿宋_GB2312"/>
          <w:color w:val="000000"/>
          <w:kern w:val="0"/>
          <w:sz w:val="30"/>
          <w:szCs w:val="30"/>
          <w:lang w:val="en-US" w:eastAsia="zh-CN" w:bidi="ar"/>
        </w:rPr>
        <w:t xml:space="preserve"> </w:t>
      </w:r>
    </w:p>
    <w:p w14:paraId="7B09E139">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根据</w:t>
      </w:r>
      <w:r>
        <w:rPr>
          <w:rFonts w:hint="eastAsia" w:ascii="仿宋_GB2312" w:hAnsi="仿宋_GB2312" w:eastAsia="仿宋_GB2312" w:cs="仿宋_GB2312"/>
          <w:sz w:val="30"/>
          <w:szCs w:val="30"/>
        </w:rPr>
        <w:t>“国家标准”</w:t>
      </w:r>
      <w:r>
        <w:rPr>
          <w:rFonts w:hint="eastAsia" w:ascii="仿宋_GB2312" w:hAnsi="仿宋_GB2312" w:eastAsia="仿宋_GB2312" w:cs="仿宋_GB2312"/>
          <w:sz w:val="30"/>
          <w:szCs w:val="30"/>
          <w:lang w:val="en-US" w:eastAsia="zh-CN"/>
        </w:rPr>
        <w:t>和</w:t>
      </w:r>
      <w:r>
        <w:rPr>
          <w:rFonts w:hint="eastAsia" w:ascii="仿宋_GB2312" w:hAnsi="仿宋_GB2312" w:eastAsia="仿宋_GB2312" w:cs="仿宋_GB2312"/>
          <w:sz w:val="30"/>
          <w:szCs w:val="30"/>
        </w:rPr>
        <w:t>专业认证标准，</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加强人才需求调研，</w:t>
      </w:r>
      <w:r>
        <w:rPr>
          <w:rFonts w:hint="eastAsia" w:ascii="仿宋_GB2312" w:hAnsi="仿宋_GB2312" w:eastAsia="仿宋_GB2312" w:cs="仿宋_GB2312"/>
          <w:sz w:val="30"/>
          <w:szCs w:val="30"/>
          <w:lang w:val="en-US" w:eastAsia="zh-CN"/>
        </w:rPr>
        <w:t>科学</w:t>
      </w:r>
      <w:r>
        <w:rPr>
          <w:rFonts w:hint="eastAsia" w:ascii="仿宋_GB2312" w:hAnsi="仿宋_GB2312" w:eastAsia="仿宋_GB2312" w:cs="仿宋_GB2312"/>
          <w:sz w:val="30"/>
          <w:szCs w:val="30"/>
        </w:rPr>
        <w:t>论证人才需求与培养目标、毕业要求及课程体系之间关系，以人才需求设定培养目标，依据培养目标制定毕业要求，由毕业要求规划课程设置，最终指向学生发展，形成反向设计，正向施工的人才培养路径。</w:t>
      </w:r>
    </w:p>
    <w:p w14:paraId="7A9ECF95">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仿宋_GB2312" w:hAnsi="仿宋_GB2312" w:eastAsia="仿宋_GB2312" w:cs="仿宋_GB2312"/>
          <w:b/>
          <w:bCs/>
          <w:sz w:val="30"/>
          <w:szCs w:val="30"/>
          <w:lang w:val="en-US" w:eastAsia="zh-CN"/>
        </w:rPr>
      </w:pPr>
      <w:r>
        <w:rPr>
          <w:rFonts w:hint="eastAsia" w:ascii="仿宋_GB2312" w:hAnsi="仿宋_GB2312" w:eastAsia="仿宋_GB2312" w:cs="仿宋_GB2312"/>
          <w:b/>
          <w:bCs/>
          <w:sz w:val="30"/>
          <w:szCs w:val="30"/>
          <w:lang w:val="en-US" w:eastAsia="zh-CN"/>
        </w:rPr>
        <w:t>（三）坚持服务需求、特色发展</w:t>
      </w:r>
    </w:p>
    <w:p w14:paraId="6B596D1B">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color w:val="000000" w:themeColor="text1"/>
          <w:sz w:val="30"/>
          <w:szCs w:val="30"/>
          <w:lang w:val="en-US" w:eastAsia="zh-CN"/>
          <w14:textFill>
            <w14:solidFill>
              <w14:schemeClr w14:val="tx1"/>
            </w14:solidFill>
          </w14:textFill>
        </w:rPr>
      </w:pPr>
      <w:r>
        <w:rPr>
          <w:rFonts w:hint="eastAsia" w:ascii="仿宋_GB2312" w:hAnsi="仿宋_GB2312" w:eastAsia="仿宋_GB2312" w:cs="仿宋_GB2312"/>
          <w:sz w:val="30"/>
          <w:szCs w:val="30"/>
          <w:lang w:val="en-US" w:eastAsia="zh-CN"/>
        </w:rPr>
        <w:t>聚焦新工科、新文科专业建设要求，主动适应新技术、新产业、新业态、新模式的经济发展变革，积极推动人工智能、大数据等现代信息技术与专业深度融合，强化学科交叉，鼓励开设跨学科跨专业新兴交叉课程、专创融合课程、校企合作课程，培养学生知识融汇应用能力和创新实践能力。</w:t>
      </w:r>
    </w:p>
    <w:p w14:paraId="014E617B">
      <w:pPr>
        <w:keepNext w:val="0"/>
        <w:keepLines w:val="0"/>
        <w:pageBreakBefore w:val="0"/>
        <w:widowControl/>
        <w:suppressLineNumbers w:val="0"/>
        <w:kinsoku/>
        <w:wordWrap/>
        <w:overflowPunct/>
        <w:topLinePunct w:val="0"/>
        <w:autoSpaceDE/>
        <w:autoSpaceDN/>
        <w:bidi w:val="0"/>
        <w:adjustRightInd/>
        <w:snapToGrid/>
        <w:spacing w:line="560" w:lineRule="exact"/>
        <w:ind w:firstLine="602"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b/>
          <w:bCs/>
          <w:color w:val="000000"/>
          <w:kern w:val="0"/>
          <w:sz w:val="30"/>
          <w:szCs w:val="30"/>
          <w:lang w:val="en-US" w:eastAsia="zh-CN" w:bidi="ar"/>
        </w:rPr>
        <w:t>（四）坚持产教融合、协同育人</w:t>
      </w:r>
      <w:r>
        <w:rPr>
          <w:rFonts w:hint="eastAsia" w:ascii="仿宋_GB2312" w:hAnsi="仿宋_GB2312" w:eastAsia="仿宋_GB2312" w:cs="仿宋_GB2312"/>
          <w:color w:val="000000"/>
          <w:kern w:val="0"/>
          <w:sz w:val="30"/>
          <w:szCs w:val="30"/>
          <w:lang w:val="en-US" w:eastAsia="zh-CN" w:bidi="ar"/>
        </w:rPr>
        <w:t xml:space="preserve"> </w:t>
      </w:r>
    </w:p>
    <w:p w14:paraId="7AF349DF">
      <w:pPr>
        <w:keepNext w:val="0"/>
        <w:keepLines w:val="0"/>
        <w:pageBreakBefore w:val="0"/>
        <w:widowControl/>
        <w:suppressLineNumbers w:val="0"/>
        <w:kinsoku/>
        <w:wordWrap/>
        <w:overflowPunct/>
        <w:topLinePunct w:val="0"/>
        <w:autoSpaceDE/>
        <w:autoSpaceDN/>
        <w:bidi w:val="0"/>
        <w:adjustRightInd/>
        <w:snapToGrid/>
        <w:spacing w:line="560" w:lineRule="exact"/>
        <w:ind w:firstLine="600" w:firstLineChars="200"/>
        <w:jc w:val="both"/>
        <w:textAlignment w:val="auto"/>
        <w:rPr>
          <w:rFonts w:hint="eastAsia" w:ascii="仿宋_GB2312" w:hAnsi="仿宋_GB2312" w:eastAsia="仿宋_GB2312" w:cs="仿宋_GB2312"/>
          <w:color w:val="333333"/>
          <w:sz w:val="30"/>
          <w:szCs w:val="30"/>
          <w:shd w:val="clear" w:color="auto" w:fill="FFFFFF"/>
        </w:rPr>
      </w:pPr>
      <w:r>
        <w:rPr>
          <w:rFonts w:hint="eastAsia" w:ascii="仿宋_GB2312" w:hAnsi="仿宋_GB2312" w:eastAsia="仿宋_GB2312" w:cs="仿宋_GB2312"/>
          <w:color w:val="000000"/>
          <w:kern w:val="0"/>
          <w:sz w:val="30"/>
          <w:szCs w:val="30"/>
          <w:lang w:val="en-US" w:eastAsia="zh-CN" w:bidi="ar"/>
        </w:rPr>
        <w:t>全面推进行业企业深度参与人才培养，与行业企业共同制定人才培养目标，共同确定人才培养要求，共同制定人才培养质量标准，共同设计课程体系，共同开发课程资源，共同建设实践基地，共同开展教学活动，实现人才培养与行业企业人才需求的无缝对接，努力</w:t>
      </w:r>
      <w:r>
        <w:rPr>
          <w:rFonts w:hint="eastAsia" w:ascii="仿宋_GB2312" w:hAnsi="仿宋_GB2312" w:eastAsia="仿宋_GB2312" w:cs="仿宋_GB2312"/>
          <w:color w:val="333333"/>
          <w:sz w:val="30"/>
          <w:szCs w:val="30"/>
          <w:shd w:val="clear" w:color="auto" w:fill="FFFFFF"/>
        </w:rPr>
        <w:t>培养符合社会需求和产业发展需要的高素质</w:t>
      </w:r>
      <w:r>
        <w:rPr>
          <w:rFonts w:hint="eastAsia" w:ascii="仿宋_GB2312" w:hAnsi="仿宋_GB2312" w:eastAsia="仿宋_GB2312" w:cs="仿宋_GB2312"/>
          <w:color w:val="333333"/>
          <w:sz w:val="30"/>
          <w:szCs w:val="30"/>
          <w:shd w:val="clear" w:color="auto" w:fill="FFFFFF"/>
          <w:lang w:val="en-US" w:eastAsia="zh-CN"/>
        </w:rPr>
        <w:t>应用型</w:t>
      </w:r>
      <w:r>
        <w:rPr>
          <w:rFonts w:hint="eastAsia" w:ascii="仿宋_GB2312" w:hAnsi="仿宋_GB2312" w:eastAsia="仿宋_GB2312" w:cs="仿宋_GB2312"/>
          <w:color w:val="333333"/>
          <w:sz w:val="30"/>
          <w:szCs w:val="30"/>
          <w:shd w:val="clear" w:color="auto" w:fill="FFFFFF"/>
        </w:rPr>
        <w:t>人才。</w:t>
      </w:r>
    </w:p>
    <w:p w14:paraId="653D4CE2">
      <w:pPr>
        <w:keepNext w:val="0"/>
        <w:keepLines w:val="0"/>
        <w:pageBreakBefore w:val="0"/>
        <w:widowControl/>
        <w:suppressLineNumbers w:val="0"/>
        <w:kinsoku/>
        <w:wordWrap/>
        <w:overflowPunct/>
        <w:topLinePunct w:val="0"/>
        <w:autoSpaceDE/>
        <w:autoSpaceDN/>
        <w:bidi w:val="0"/>
        <w:adjustRightInd/>
        <w:snapToGrid/>
        <w:spacing w:line="560" w:lineRule="exact"/>
        <w:ind w:firstLine="602" w:firstLineChars="200"/>
        <w:jc w:val="left"/>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b/>
          <w:bCs/>
          <w:color w:val="000000"/>
          <w:kern w:val="0"/>
          <w:sz w:val="30"/>
          <w:szCs w:val="30"/>
          <w:lang w:val="en-US" w:eastAsia="zh-CN" w:bidi="ar"/>
        </w:rPr>
        <w:t xml:space="preserve">三、研制重点 </w:t>
      </w:r>
    </w:p>
    <w:p w14:paraId="31032C75">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rPr>
          <w:rFonts w:hint="default" w:ascii="仿宋_GB2312" w:hAnsi="仿宋_GB2312" w:eastAsia="仿宋_GB2312" w:cs="仿宋_GB2312"/>
          <w:b/>
          <w:bCs/>
          <w:sz w:val="30"/>
          <w:szCs w:val="30"/>
          <w:lang w:val="en-US" w:eastAsia="zh-CN"/>
        </w:rPr>
      </w:pPr>
      <w:r>
        <w:rPr>
          <w:rFonts w:hint="eastAsia" w:ascii="仿宋_GB2312" w:hAnsi="仿宋_GB2312" w:eastAsia="仿宋_GB2312" w:cs="仿宋_GB2312"/>
          <w:b/>
          <w:bCs/>
          <w:color w:val="auto"/>
          <w:sz w:val="30"/>
          <w:szCs w:val="30"/>
          <w:lang w:val="en-US" w:eastAsia="zh-CN"/>
        </w:rPr>
        <w:t>（一）</w:t>
      </w:r>
      <w:r>
        <w:rPr>
          <w:rFonts w:hint="eastAsia" w:ascii="仿宋_GB2312" w:hAnsi="仿宋_GB2312" w:eastAsia="仿宋_GB2312" w:cs="仿宋_GB2312"/>
          <w:b/>
          <w:bCs/>
          <w:sz w:val="30"/>
          <w:szCs w:val="30"/>
          <w:lang w:val="en-US" w:eastAsia="zh-CN"/>
        </w:rPr>
        <w:t>严格对标对表，重塑培养目标</w:t>
      </w:r>
    </w:p>
    <w:p w14:paraId="28137AE3">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auto"/>
          <w:sz w:val="30"/>
          <w:szCs w:val="30"/>
          <w:u w:val="none"/>
          <w:lang w:val="en-US" w:eastAsia="zh-CN"/>
        </w:rPr>
        <w:t>各二级学院应围绕学校办学定位、人才培养总目标和社会发展需求、学生成长需求，认真研读</w:t>
      </w:r>
      <w:r>
        <w:rPr>
          <w:rFonts w:hint="eastAsia" w:ascii="仿宋_GB2312" w:hAnsi="仿宋_GB2312" w:eastAsia="仿宋_GB2312" w:cs="仿宋_GB2312"/>
          <w:sz w:val="30"/>
          <w:szCs w:val="30"/>
        </w:rPr>
        <w:t>“国家标准”</w:t>
      </w:r>
      <w:r>
        <w:rPr>
          <w:rFonts w:hint="eastAsia" w:ascii="仿宋_GB2312" w:hAnsi="仿宋_GB2312" w:eastAsia="仿宋_GB2312" w:cs="仿宋_GB2312"/>
          <w:sz w:val="30"/>
          <w:szCs w:val="30"/>
          <w:lang w:val="en-US" w:eastAsia="zh-CN"/>
        </w:rPr>
        <w:t>中确立</w:t>
      </w:r>
      <w:r>
        <w:rPr>
          <w:rFonts w:hint="eastAsia" w:ascii="仿宋_GB2312" w:hAnsi="仿宋_GB2312" w:eastAsia="仿宋_GB2312" w:cs="仿宋_GB2312"/>
          <w:color w:val="auto"/>
          <w:sz w:val="30"/>
          <w:szCs w:val="30"/>
          <w:u w:val="none"/>
          <w:lang w:val="en-US" w:eastAsia="zh-CN"/>
        </w:rPr>
        <w:t>的培养目标、培养规格和课程体系要求。</w:t>
      </w:r>
      <w:r>
        <w:rPr>
          <w:rFonts w:hint="eastAsia" w:ascii="仿宋_GB2312" w:hAnsi="仿宋_GB2312" w:eastAsia="仿宋_GB2312" w:cs="仿宋_GB2312"/>
          <w:b w:val="0"/>
          <w:bCs w:val="0"/>
          <w:sz w:val="30"/>
          <w:szCs w:val="30"/>
          <w:lang w:val="en-US" w:eastAsia="zh-CN"/>
        </w:rPr>
        <w:t>工程</w:t>
      </w:r>
      <w:r>
        <w:rPr>
          <w:rFonts w:hint="eastAsia" w:ascii="仿宋_GB2312" w:hAnsi="仿宋_GB2312" w:eastAsia="仿宋_GB2312" w:cs="仿宋_GB2312"/>
          <w:b w:val="0"/>
          <w:bCs w:val="0"/>
          <w:color w:val="000000" w:themeColor="text1"/>
          <w:sz w:val="30"/>
          <w:szCs w:val="30"/>
          <w:lang w:val="en-US" w:eastAsia="zh-CN"/>
          <w14:textFill>
            <w14:solidFill>
              <w14:schemeClr w14:val="tx1"/>
            </w14:solidFill>
          </w14:textFill>
        </w:rPr>
        <w:t>类专业应遵循《</w:t>
      </w:r>
      <w:r>
        <w:rPr>
          <w:rFonts w:hint="eastAsia" w:ascii="仿宋_GB2312" w:hAnsi="仿宋_GB2312" w:eastAsia="仿宋_GB2312" w:cs="仿宋_GB2312"/>
          <w:b w:val="0"/>
          <w:bCs w:val="0"/>
          <w:sz w:val="30"/>
          <w:szCs w:val="30"/>
          <w:lang w:val="en-US" w:eastAsia="zh-CN"/>
        </w:rPr>
        <w:t>工程教育认证通用标准》及专业类补充标准，师范类专业应遵循《师范专业认证标准》（第二级）《教师专业标准》《师范生教师职业能力标准》《教师教育课程标准》，其他专业应参照</w:t>
      </w:r>
      <w:r>
        <w:rPr>
          <w:rFonts w:hint="eastAsia" w:ascii="仿宋_GB2312" w:hAnsi="仿宋_GB2312" w:eastAsia="仿宋_GB2312" w:cs="仿宋_GB2312"/>
          <w:sz w:val="30"/>
          <w:szCs w:val="30"/>
        </w:rPr>
        <w:t>“国家标准”</w:t>
      </w:r>
      <w:r>
        <w:rPr>
          <w:rFonts w:hint="eastAsia" w:ascii="仿宋_GB2312" w:hAnsi="仿宋_GB2312" w:eastAsia="仿宋_GB2312" w:cs="仿宋_GB2312"/>
          <w:b w:val="0"/>
          <w:bCs w:val="0"/>
          <w:sz w:val="30"/>
          <w:szCs w:val="30"/>
          <w:lang w:val="en-US" w:eastAsia="zh-CN"/>
        </w:rPr>
        <w:t>和</w:t>
      </w:r>
      <w:r>
        <w:rPr>
          <w:rFonts w:hint="eastAsia" w:ascii="仿宋_GB2312" w:hAnsi="仿宋_GB2312" w:eastAsia="仿宋_GB2312" w:cs="仿宋_GB2312"/>
          <w:color w:val="auto"/>
          <w:sz w:val="30"/>
          <w:szCs w:val="30"/>
          <w:u w:val="none"/>
          <w:lang w:val="en-US" w:eastAsia="zh-CN"/>
        </w:rPr>
        <w:t>专业综合评估、行业从业标准。进一步理清“培养目标—毕业要求—课程体系”三者之间的内在逻辑关系和有效支撑，</w:t>
      </w:r>
      <w:r>
        <w:rPr>
          <w:rFonts w:hint="eastAsia" w:ascii="仿宋_GB2312" w:hAnsi="仿宋_GB2312" w:eastAsia="仿宋_GB2312" w:cs="仿宋_GB2312"/>
          <w:color w:val="000000"/>
          <w:kern w:val="0"/>
          <w:sz w:val="30"/>
          <w:szCs w:val="30"/>
          <w:lang w:val="en-US" w:eastAsia="zh-CN" w:bidi="ar"/>
        </w:rPr>
        <w:t>科学凝练、准确定位各专业的人才培养目标和毕业要求。</w:t>
      </w:r>
    </w:p>
    <w:p w14:paraId="14AEF48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2" w:firstLineChars="200"/>
        <w:jc w:val="both"/>
        <w:textAlignment w:val="auto"/>
        <w:rPr>
          <w:rFonts w:hint="eastAsia" w:ascii="仿宋_GB2312" w:hAnsi="仿宋_GB2312" w:eastAsia="仿宋_GB2312" w:cs="仿宋_GB2312"/>
          <w:b/>
          <w:bCs/>
          <w:color w:val="000000" w:themeColor="text1"/>
          <w:sz w:val="30"/>
          <w:szCs w:val="30"/>
          <w:u w:val="none"/>
          <w:lang w:val="en-US" w:eastAsia="zh-CN"/>
          <w14:textFill>
            <w14:solidFill>
              <w14:schemeClr w14:val="tx1"/>
            </w14:solidFill>
          </w14:textFill>
        </w:rPr>
      </w:pPr>
      <w:r>
        <w:rPr>
          <w:rFonts w:hint="eastAsia" w:ascii="仿宋_GB2312" w:hAnsi="仿宋_GB2312" w:eastAsia="仿宋_GB2312" w:cs="仿宋_GB2312"/>
          <w:b/>
          <w:bCs/>
          <w:color w:val="000000" w:themeColor="text1"/>
          <w:kern w:val="2"/>
          <w:sz w:val="30"/>
          <w:szCs w:val="30"/>
          <w:u w:val="none"/>
          <w:lang w:val="en-US" w:eastAsia="zh-CN" w:bidi="ar-SA"/>
          <w14:textFill>
            <w14:solidFill>
              <w14:schemeClr w14:val="tx1"/>
            </w14:solidFill>
          </w14:textFill>
        </w:rPr>
        <w:t>（二）</w:t>
      </w:r>
      <w:r>
        <w:rPr>
          <w:rFonts w:hint="eastAsia" w:ascii="仿宋_GB2312" w:hAnsi="仿宋_GB2312" w:eastAsia="仿宋_GB2312" w:cs="仿宋_GB2312"/>
          <w:b/>
          <w:bCs/>
          <w:color w:val="000000" w:themeColor="text1"/>
          <w:sz w:val="30"/>
          <w:szCs w:val="30"/>
          <w:u w:val="none"/>
          <w:lang w:val="en-US" w:eastAsia="zh-CN"/>
          <w14:textFill>
            <w14:solidFill>
              <w14:schemeClr w14:val="tx1"/>
            </w14:solidFill>
          </w14:textFill>
        </w:rPr>
        <w:t>坚持内涵提升，重构课程体系</w:t>
      </w:r>
    </w:p>
    <w:p w14:paraId="173AED2A">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ascii="仿宋_GB2312" w:hAnsi="仿宋_GB2312" w:eastAsia="仿宋_GB2312" w:cs="仿宋_GB2312"/>
          <w:sz w:val="30"/>
          <w:szCs w:val="30"/>
          <w:u w:val="none"/>
          <w:lang w:val="en-US" w:eastAsia="zh-CN"/>
        </w:rPr>
      </w:pPr>
      <w:r>
        <w:rPr>
          <w:rFonts w:hint="eastAsia" w:ascii="仿宋_GB2312" w:hAnsi="仿宋_GB2312" w:eastAsia="仿宋_GB2312" w:cs="仿宋_GB2312"/>
          <w:sz w:val="30"/>
          <w:szCs w:val="30"/>
          <w:u w:val="none"/>
          <w:lang w:val="en-US" w:eastAsia="zh-CN"/>
        </w:rPr>
        <w:t>各专业应认真梳理本专业课程体系，优化知识结构，深入分析专业基础课程和专业核心(必修)课程设置，提升基础类和核心类课程的内涵，为高素质应用型人才培养提供扎实的专业基础。在课程体系中设置</w:t>
      </w:r>
      <w:r>
        <w:rPr>
          <w:rFonts w:hint="eastAsia" w:ascii="仿宋_GB2312" w:hAnsi="仿宋_GB2312" w:eastAsia="仿宋_GB2312" w:cs="仿宋_GB2312"/>
          <w:b w:val="0"/>
          <w:bCs w:val="0"/>
          <w:sz w:val="30"/>
          <w:szCs w:val="30"/>
          <w:u w:val="none"/>
          <w:lang w:val="en-US" w:eastAsia="zh-CN"/>
        </w:rPr>
        <w:t>双语课程、全英文课程、校内外合授课程（校校联合课程、产教融合课程）、线上线下混合课程、研讨类课程、科教融汇类课程等特设、特色课程。注重专业核心课程的基础性、前沿性，引进省级一流课程、国家级一流课程等优质</w:t>
      </w:r>
      <w:r>
        <w:rPr>
          <w:rFonts w:hint="eastAsia" w:ascii="仿宋_GB2312" w:hAnsi="仿宋_GB2312" w:eastAsia="仿宋_GB2312" w:cs="仿宋_GB2312"/>
          <w:sz w:val="30"/>
          <w:szCs w:val="30"/>
          <w:u w:val="none"/>
          <w:lang w:val="en-US" w:eastAsia="zh-CN"/>
        </w:rPr>
        <w:t>课程资源，打造一流专业教育。</w:t>
      </w:r>
    </w:p>
    <w:p w14:paraId="07D49773">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rPr>
          <w:rFonts w:hint="eastAsia" w:ascii="仿宋_GB2312" w:hAnsi="仿宋_GB2312" w:eastAsia="仿宋_GB2312" w:cs="仿宋_GB2312"/>
          <w:b/>
          <w:bCs/>
          <w:sz w:val="30"/>
          <w:szCs w:val="30"/>
          <w:u w:val="none"/>
          <w:lang w:val="en-US" w:eastAsia="zh-CN"/>
        </w:rPr>
      </w:pPr>
      <w:r>
        <w:rPr>
          <w:rFonts w:hint="eastAsia" w:ascii="仿宋_GB2312" w:hAnsi="仿宋_GB2312" w:eastAsia="仿宋_GB2312" w:cs="仿宋_GB2312"/>
          <w:b/>
          <w:bCs/>
          <w:sz w:val="30"/>
          <w:szCs w:val="30"/>
          <w:u w:val="none"/>
          <w:lang w:val="en-US" w:eastAsia="zh-CN"/>
        </w:rPr>
        <w:t>（三）坚持“四新”引领，注重学科融通</w:t>
      </w:r>
    </w:p>
    <w:p w14:paraId="4829B0D4">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ascii="仿宋_GB2312" w:hAnsi="仿宋_GB2312" w:eastAsia="仿宋_GB2312" w:cs="仿宋_GB2312"/>
          <w:sz w:val="30"/>
          <w:szCs w:val="30"/>
          <w:u w:val="none"/>
          <w:lang w:val="en-US" w:eastAsia="zh-CN"/>
        </w:rPr>
      </w:pPr>
      <w:r>
        <w:rPr>
          <w:rFonts w:hint="eastAsia" w:ascii="仿宋_GB2312" w:hAnsi="仿宋_GB2312" w:eastAsia="仿宋_GB2312" w:cs="仿宋_GB2312"/>
          <w:sz w:val="30"/>
          <w:szCs w:val="30"/>
          <w:u w:val="none"/>
          <w:lang w:val="en-US" w:eastAsia="zh-CN"/>
        </w:rPr>
        <w:t>依据“四新”建设要求，</w:t>
      </w:r>
      <w:r>
        <w:rPr>
          <w:rFonts w:hint="eastAsia" w:ascii="仿宋_GB2312" w:hAnsi="仿宋_GB2312" w:eastAsia="仿宋_GB2312" w:cs="仿宋_GB2312"/>
          <w:i w:val="0"/>
          <w:iCs w:val="0"/>
          <w:caps w:val="0"/>
          <w:color w:val="000000" w:themeColor="text1"/>
          <w:spacing w:val="0"/>
          <w:sz w:val="30"/>
          <w:szCs w:val="30"/>
          <w14:textFill>
            <w14:solidFill>
              <w14:schemeClr w14:val="tx1"/>
            </w14:solidFill>
          </w14:textFill>
        </w:rPr>
        <w:t>打破学科专业壁垒，</w:t>
      </w:r>
      <w:r>
        <w:rPr>
          <w:rFonts w:ascii="仿宋_GB2312" w:hAnsi="宋体" w:eastAsia="仿宋_GB2312" w:cs="仿宋_GB2312"/>
          <w:b w:val="0"/>
          <w:bCs w:val="0"/>
          <w:color w:val="000000" w:themeColor="text1"/>
          <w:kern w:val="0"/>
          <w:sz w:val="30"/>
          <w:szCs w:val="30"/>
          <w:lang w:val="en-US" w:eastAsia="zh-CN" w:bidi="ar"/>
          <w14:textFill>
            <w14:solidFill>
              <w14:schemeClr w14:val="tx1"/>
            </w14:solidFill>
          </w14:textFill>
        </w:rPr>
        <w:t>推动学科专业交叉融合，</w:t>
      </w:r>
      <w:r>
        <w:rPr>
          <w:rFonts w:hint="eastAsia" w:ascii="仿宋_GB2312" w:hAnsi="仿宋_GB2312" w:eastAsia="仿宋_GB2312" w:cs="仿宋_GB2312"/>
          <w:sz w:val="30"/>
          <w:szCs w:val="30"/>
          <w:u w:val="none"/>
          <w:lang w:val="en-US" w:eastAsia="zh-CN"/>
        </w:rPr>
        <w:t>鼓励各专业在跨专业选修课程模块中开设3-5门跨学科门类课程，增设部分跨专业课程，为各专业学生提供更多的个性化交叉选修课程。瞄准新兴产业人才需求变化，优先增设物联网、大数据、云计算、人工智能、数据挖掘、数据分析等领域课程，探索“智能+”“数字+”跨学科跨专业交叉融合培养模式，增强学生应用最新科技的能力，提高学生就业竞争力和职业发展力。</w:t>
      </w:r>
    </w:p>
    <w:p w14:paraId="57BC64A8">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rPr>
          <w:rFonts w:hint="eastAsia" w:ascii="仿宋_GB2312" w:hAnsi="仿宋_GB2312" w:eastAsia="仿宋_GB2312" w:cs="仿宋_GB2312"/>
          <w:b/>
          <w:bCs/>
          <w:sz w:val="30"/>
          <w:szCs w:val="30"/>
          <w:u w:val="none"/>
          <w:lang w:val="en-US" w:eastAsia="zh-CN"/>
        </w:rPr>
      </w:pPr>
      <w:r>
        <w:rPr>
          <w:rFonts w:hint="eastAsia" w:ascii="仿宋_GB2312" w:hAnsi="仿宋_GB2312" w:eastAsia="仿宋_GB2312" w:cs="仿宋_GB2312"/>
          <w:b/>
          <w:bCs/>
          <w:sz w:val="30"/>
          <w:szCs w:val="30"/>
          <w:u w:val="none"/>
          <w:lang w:val="en-US" w:eastAsia="zh-CN"/>
        </w:rPr>
        <w:t xml:space="preserve">（四）推进数字教育，提升教学质量 </w:t>
      </w:r>
    </w:p>
    <w:p w14:paraId="213F88A4">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ascii="仿宋_GB2312" w:hAnsi="仿宋_GB2312" w:eastAsia="仿宋_GB2312" w:cs="仿宋_GB2312"/>
          <w:sz w:val="30"/>
          <w:szCs w:val="30"/>
          <w:u w:val="none"/>
          <w:lang w:val="en-US" w:eastAsia="zh-CN"/>
        </w:rPr>
      </w:pPr>
      <w:r>
        <w:rPr>
          <w:rFonts w:hint="eastAsia" w:ascii="仿宋_GB2312" w:hAnsi="仿宋_GB2312" w:eastAsia="仿宋_GB2312" w:cs="仿宋_GB2312"/>
          <w:sz w:val="30"/>
          <w:szCs w:val="30"/>
          <w:u w:val="none"/>
          <w:lang w:val="en-US" w:eastAsia="zh-CN"/>
        </w:rPr>
        <w:t>积极设置和完善数字教育课程体系，将提升数字素养融入教育教学全过程之中，以数字化教育改变学生的学，注重培养学生数据科学思维和AI应用能力以及终身学习能力；以数字赋能改变教师的教，鼓励和探索数字化环境下的教学模式创新，采用慕课、翻转课堂、混合式教学、虚拟场景化教学等，提高教学互动性和参与度；发挥学校网络平台作用，强化网络学习空间应用，创新课程考核及学生学习评价方式。</w:t>
      </w:r>
    </w:p>
    <w:p w14:paraId="7D7DDF73">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rPr>
          <w:rFonts w:hint="eastAsia" w:ascii="仿宋_GB2312" w:hAnsi="仿宋_GB2312" w:eastAsia="仿宋_GB2312" w:cs="仿宋_GB2312"/>
          <w:b/>
          <w:bCs/>
          <w:sz w:val="30"/>
          <w:szCs w:val="30"/>
          <w:u w:val="none"/>
          <w:lang w:val="en-US" w:eastAsia="zh-CN"/>
        </w:rPr>
      </w:pPr>
      <w:r>
        <w:rPr>
          <w:rFonts w:hint="eastAsia" w:ascii="仿宋_GB2312" w:hAnsi="仿宋_GB2312" w:eastAsia="仿宋_GB2312" w:cs="仿宋_GB2312"/>
          <w:b/>
          <w:bCs/>
          <w:sz w:val="30"/>
          <w:szCs w:val="30"/>
          <w:u w:val="none"/>
          <w:lang w:val="en-US" w:eastAsia="zh-CN"/>
        </w:rPr>
        <w:t>（五）突出实践教学，强化能力培养</w:t>
      </w:r>
    </w:p>
    <w:p w14:paraId="1A3A5239">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default" w:ascii="仿宋_GB2312" w:hAnsi="宋体" w:eastAsia="仿宋_GB2312" w:cs="仿宋_GB2312"/>
          <w:color w:val="000000"/>
          <w:kern w:val="0"/>
          <w:sz w:val="30"/>
          <w:szCs w:val="30"/>
          <w:lang w:val="en-US" w:eastAsia="zh-CN" w:bidi="ar"/>
        </w:rPr>
      </w:pPr>
      <w:r>
        <w:rPr>
          <w:rFonts w:hint="eastAsia" w:ascii="仿宋_GB2312" w:hAnsi="仿宋_GB2312" w:eastAsia="仿宋_GB2312" w:cs="仿宋_GB2312"/>
          <w:sz w:val="30"/>
          <w:szCs w:val="30"/>
          <w:u w:val="none"/>
          <w:lang w:val="en-US" w:eastAsia="zh-CN"/>
        </w:rPr>
        <w:t>各学院要明确专业实践教学要求，合理规划人才培养方案中实验实践教学比重，对实习、实训、课程设计、社会调查、毕业论文(设计)、课外活动(包括邀请行业专家讲座)等实践性教学环节进行整体、系统的优化设计。突出实验实训内容的基础性和应用性，推进实验内容和实验模式的改革与创新，扩大设计性实验、综合性实习、创新性实验、生产性实习的比例。充分利用信息技术，在“能实不虚”的原则下加强虚拟仿真实验项目的应用。</w:t>
      </w:r>
      <w:r>
        <w:rPr>
          <w:rFonts w:hint="eastAsia" w:ascii="仿宋_GB2312" w:hAnsi="宋体" w:eastAsia="仿宋_GB2312" w:cs="仿宋_GB2312"/>
          <w:color w:val="000000"/>
          <w:kern w:val="0"/>
          <w:sz w:val="30"/>
          <w:szCs w:val="30"/>
          <w:lang w:val="en-US" w:eastAsia="zh-CN" w:bidi="ar"/>
        </w:rPr>
        <w:t>确保列入本科专业教学计划的人文社科类专业实践教学占总学分（学时）不低于</w:t>
      </w:r>
      <w:r>
        <w:rPr>
          <w:rFonts w:hint="eastAsia" w:ascii="仿宋_GB2312" w:hAnsi="宋体" w:eastAsia="仿宋_GB2312" w:cs="仿宋_GB2312"/>
          <w:color w:val="FF0000"/>
          <w:kern w:val="0"/>
          <w:sz w:val="30"/>
          <w:szCs w:val="30"/>
          <w:lang w:val="en-US" w:eastAsia="zh-CN" w:bidi="ar"/>
        </w:rPr>
        <w:t xml:space="preserve"> </w:t>
      </w:r>
      <w:r>
        <w:rPr>
          <w:rFonts w:hint="eastAsia" w:ascii="仿宋_GB2312" w:hAnsi="宋体" w:eastAsia="仿宋_GB2312" w:cs="仿宋_GB2312"/>
          <w:color w:val="auto"/>
          <w:kern w:val="0"/>
          <w:sz w:val="30"/>
          <w:szCs w:val="30"/>
          <w:lang w:val="en-US" w:eastAsia="zh-CN" w:bidi="ar"/>
        </w:rPr>
        <w:t>30%</w:t>
      </w:r>
      <w:r>
        <w:rPr>
          <w:rFonts w:hint="eastAsia" w:ascii="仿宋_GB2312" w:hAnsi="宋体" w:eastAsia="仿宋_GB2312" w:cs="仿宋_GB2312"/>
          <w:color w:val="000000"/>
          <w:kern w:val="0"/>
          <w:sz w:val="30"/>
          <w:szCs w:val="30"/>
          <w:lang w:val="en-US" w:eastAsia="zh-CN" w:bidi="ar"/>
        </w:rPr>
        <w:t>，理工艺体类专业实践教学占总学分（学时）不低于</w:t>
      </w:r>
      <w:r>
        <w:rPr>
          <w:rFonts w:hint="eastAsia" w:ascii="仿宋_GB2312" w:hAnsi="宋体" w:eastAsia="仿宋_GB2312" w:cs="仿宋_GB2312"/>
          <w:color w:val="FF0000"/>
          <w:kern w:val="0"/>
          <w:sz w:val="30"/>
          <w:szCs w:val="30"/>
          <w:lang w:val="en-US" w:eastAsia="zh-CN" w:bidi="ar"/>
        </w:rPr>
        <w:t xml:space="preserve"> </w:t>
      </w:r>
      <w:r>
        <w:rPr>
          <w:rFonts w:hint="eastAsia" w:ascii="仿宋_GB2312" w:hAnsi="宋体" w:eastAsia="仿宋_GB2312" w:cs="仿宋_GB2312"/>
          <w:color w:val="auto"/>
          <w:kern w:val="0"/>
          <w:sz w:val="30"/>
          <w:szCs w:val="30"/>
          <w:lang w:val="en-US" w:eastAsia="zh-CN" w:bidi="ar"/>
        </w:rPr>
        <w:t>35%</w:t>
      </w:r>
      <w:r>
        <w:rPr>
          <w:rFonts w:hint="eastAsia" w:ascii="仿宋_GB2312" w:hAnsi="宋体" w:eastAsia="仿宋_GB2312" w:cs="仿宋_GB2312"/>
          <w:color w:val="000000"/>
          <w:kern w:val="0"/>
          <w:sz w:val="30"/>
          <w:szCs w:val="30"/>
          <w:lang w:val="en-US" w:eastAsia="zh-CN" w:bidi="ar"/>
        </w:rPr>
        <w:t>。</w:t>
      </w:r>
    </w:p>
    <w:p w14:paraId="38BEDA22">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rPr>
          <w:rFonts w:hint="eastAsia" w:ascii="仿宋_GB2312" w:hAnsi="仿宋_GB2312" w:eastAsia="仿宋_GB2312" w:cs="仿宋_GB2312"/>
          <w:b/>
          <w:bCs/>
          <w:sz w:val="30"/>
          <w:szCs w:val="30"/>
          <w:lang w:val="en-US" w:eastAsia="zh-CN"/>
        </w:rPr>
      </w:pPr>
      <w:r>
        <w:rPr>
          <w:rFonts w:hint="eastAsia" w:ascii="仿宋_GB2312" w:hAnsi="仿宋_GB2312" w:eastAsia="仿宋_GB2312" w:cs="仿宋_GB2312"/>
          <w:b/>
          <w:bCs/>
          <w:sz w:val="30"/>
          <w:szCs w:val="30"/>
          <w:lang w:val="en-US" w:eastAsia="zh-CN"/>
        </w:rPr>
        <w:t>（六）坚持联合培养，推进协同育人</w:t>
      </w:r>
    </w:p>
    <w:p w14:paraId="12062AD7">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ascii="仿宋_GB2312" w:hAnsi="仿宋_GB2312" w:eastAsia="仿宋_GB2312" w:cs="仿宋_GB2312"/>
          <w:sz w:val="30"/>
          <w:szCs w:val="30"/>
          <w:u w:val="none"/>
          <w:lang w:val="en-US" w:eastAsia="zh-CN"/>
        </w:rPr>
      </w:pPr>
      <w:r>
        <w:rPr>
          <w:rFonts w:hint="eastAsia" w:ascii="仿宋_GB2312" w:hAnsi="仿宋_GB2312" w:eastAsia="仿宋_GB2312" w:cs="仿宋_GB2312"/>
          <w:sz w:val="30"/>
          <w:szCs w:val="30"/>
          <w:u w:val="none"/>
          <w:lang w:val="en-US" w:eastAsia="zh-CN"/>
        </w:rPr>
        <w:t>突出产出导向，切实提高人才培养与区域经济社会发展需求的匹配度。结合学校办学定位，保证培养目标与社会需求之间具有良好的对应关系。坚持科产教融合，鼓励按照行业标准设置课程，充分利用社会资源，建设实践基地和产业学院，积极与知名企业、社会机构和科研院所合作办学，开设校企联合特色课程。</w:t>
      </w:r>
    </w:p>
    <w:p w14:paraId="51E873E8">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rPr>
          <w:rFonts w:hint="eastAsia" w:ascii="仿宋_GB2312" w:hAnsi="仿宋_GB2312" w:eastAsia="仿宋_GB2312" w:cs="仿宋_GB2312"/>
          <w:b/>
          <w:bCs/>
          <w:sz w:val="30"/>
          <w:szCs w:val="30"/>
          <w:lang w:val="en-US" w:eastAsia="zh-CN"/>
        </w:rPr>
      </w:pPr>
      <w:r>
        <w:rPr>
          <w:rFonts w:hint="eastAsia" w:ascii="仿宋_GB2312" w:hAnsi="仿宋_GB2312" w:eastAsia="仿宋_GB2312" w:cs="仿宋_GB2312"/>
          <w:b/>
          <w:bCs/>
          <w:sz w:val="30"/>
          <w:szCs w:val="30"/>
          <w:lang w:val="en-US" w:eastAsia="zh-CN"/>
        </w:rPr>
        <w:t>（七）促进“双创”改革，提升开展创新实践活动</w:t>
      </w:r>
    </w:p>
    <w:p w14:paraId="28248D07">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加强创新创业课程体系的建设，广泛开展创新创业实践活动。加强创新创业教育与通识教育、专业教育相互融合，在人才培养全过程中启发学生创新创业意识，训练学生创新创业思维，培养学生发现问题和解决问题能力，在掌握扎实的专业知识和技能的同时，各专业根据自身特色与优势，结合学科前沿理论与方法、构建“通识教育、专业教育及课外教育”的创新创业课程体系。</w:t>
      </w:r>
    </w:p>
    <w:p w14:paraId="378ACE5F">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left"/>
        <w:textAlignment w:val="auto"/>
        <w:rPr>
          <w:rFonts w:hint="eastAsia" w:ascii="仿宋_GB2312" w:hAnsi="仿宋_GB2312" w:eastAsia="仿宋_GB2312" w:cs="仿宋_GB2312"/>
          <w:b/>
          <w:bCs/>
          <w:sz w:val="30"/>
          <w:szCs w:val="30"/>
          <w:lang w:val="en-US" w:eastAsia="zh-CN"/>
        </w:rPr>
      </w:pPr>
      <w:r>
        <w:rPr>
          <w:rFonts w:hint="eastAsia" w:ascii="仿宋_GB2312" w:hAnsi="仿宋_GB2312" w:eastAsia="仿宋_GB2312" w:cs="仿宋_GB2312"/>
          <w:b/>
          <w:bCs/>
          <w:sz w:val="30"/>
          <w:szCs w:val="30"/>
          <w:lang w:val="en-US" w:eastAsia="zh-CN"/>
        </w:rPr>
        <w:t>四、课程设置</w:t>
      </w:r>
    </w:p>
    <w:p w14:paraId="695312EF">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 w:hAnsi="仿宋" w:eastAsia="仿宋" w:cs="仿宋"/>
          <w:sz w:val="30"/>
          <w:szCs w:val="30"/>
          <w:lang w:val="en-US" w:eastAsia="zh-CN"/>
        </w:rPr>
      </w:pPr>
      <w:r>
        <w:rPr>
          <w:rFonts w:hint="eastAsia" w:ascii="仿宋_GB2312" w:hAnsi="仿宋_GB2312" w:eastAsia="仿宋_GB2312" w:cs="仿宋_GB2312"/>
          <w:sz w:val="30"/>
          <w:szCs w:val="30"/>
          <w:lang w:val="en-US" w:eastAsia="zh-CN"/>
        </w:rPr>
        <w:t>课程体系包括通识教育课程、学科专业课程、个性化分类培养课程三大类别，每个类别中包括若干课程群。课程体系基本框架见表1。</w:t>
      </w:r>
      <w:bookmarkStart w:id="0" w:name="_GoBack"/>
      <w:bookmarkEnd w:id="0"/>
    </w:p>
    <w:p w14:paraId="3FDDE0F0">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rPr>
          <w:rFonts w:hint="eastAsia" w:ascii="仿宋_GB2312" w:hAnsi="仿宋_GB2312" w:eastAsia="仿宋_GB2312" w:cs="仿宋_GB2312"/>
          <w:b w:val="0"/>
          <w:bCs w:val="0"/>
          <w:sz w:val="30"/>
          <w:szCs w:val="30"/>
          <w:lang w:val="en-US" w:eastAsia="zh-CN"/>
        </w:rPr>
      </w:pPr>
      <w:r>
        <w:rPr>
          <w:rFonts w:hint="eastAsia" w:ascii="仿宋_GB2312" w:hAnsi="仿宋_GB2312" w:eastAsia="仿宋_GB2312" w:cs="仿宋_GB2312"/>
          <w:b w:val="0"/>
          <w:bCs w:val="0"/>
          <w:sz w:val="30"/>
          <w:szCs w:val="30"/>
          <w:lang w:val="en-US" w:eastAsia="zh-CN"/>
        </w:rPr>
        <w:t>表1   课程体系构成</w:t>
      </w:r>
    </w:p>
    <w:tbl>
      <w:tblPr>
        <w:tblStyle w:val="8"/>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13" w:type="dxa"/>
          <w:bottom w:w="0" w:type="dxa"/>
          <w:right w:w="0" w:type="dxa"/>
        </w:tblCellMar>
      </w:tblPr>
      <w:tblGrid>
        <w:gridCol w:w="1361"/>
        <w:gridCol w:w="2150"/>
        <w:gridCol w:w="4434"/>
        <w:gridCol w:w="915"/>
      </w:tblGrid>
      <w:tr w14:paraId="1C028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0" w:type="dxa"/>
          </w:tblCellMar>
        </w:tblPrEx>
        <w:trPr>
          <w:trHeight w:val="454" w:hRule="atLeast"/>
          <w:tblHeader/>
          <w:jc w:val="center"/>
        </w:trPr>
        <w:tc>
          <w:tcPr>
            <w:tcW w:w="1981" w:type="pct"/>
            <w:gridSpan w:val="2"/>
            <w:noWrap w:val="0"/>
            <w:tcMar>
              <w:top w:w="10" w:type="dxa"/>
              <w:left w:w="10" w:type="dxa"/>
              <w:right w:w="10" w:type="dxa"/>
            </w:tcMar>
            <w:vAlign w:val="center"/>
          </w:tcPr>
          <w:p w14:paraId="16E656C1">
            <w:pPr>
              <w:adjustRightInd w:val="0"/>
              <w:snapToGrid w:val="0"/>
              <w:jc w:val="center"/>
              <w:rPr>
                <w:rFonts w:hint="eastAsia" w:ascii="仿宋" w:hAnsi="仿宋" w:eastAsia="仿宋" w:cs="仿宋"/>
                <w:b/>
                <w:bCs/>
                <w:sz w:val="21"/>
                <w:szCs w:val="21"/>
                <w:u w:val="none"/>
              </w:rPr>
            </w:pPr>
            <w:r>
              <w:rPr>
                <w:rFonts w:hint="eastAsia" w:ascii="仿宋" w:hAnsi="仿宋" w:eastAsia="仿宋" w:cs="仿宋"/>
                <w:b/>
                <w:bCs/>
                <w:sz w:val="21"/>
                <w:szCs w:val="21"/>
                <w:u w:val="none"/>
              </w:rPr>
              <w:t>课程类别</w:t>
            </w:r>
          </w:p>
        </w:tc>
        <w:tc>
          <w:tcPr>
            <w:tcW w:w="2501" w:type="pct"/>
            <w:noWrap w:val="0"/>
            <w:tcMar>
              <w:top w:w="10" w:type="dxa"/>
              <w:left w:w="10" w:type="dxa"/>
              <w:right w:w="10" w:type="dxa"/>
            </w:tcMar>
            <w:vAlign w:val="center"/>
          </w:tcPr>
          <w:p w14:paraId="3133E939">
            <w:pPr>
              <w:adjustRightInd w:val="0"/>
              <w:snapToGrid w:val="0"/>
              <w:jc w:val="center"/>
              <w:rPr>
                <w:rFonts w:hint="eastAsia" w:ascii="仿宋" w:hAnsi="仿宋" w:eastAsia="仿宋" w:cs="仿宋"/>
                <w:b/>
                <w:bCs/>
                <w:sz w:val="21"/>
                <w:szCs w:val="21"/>
                <w:u w:val="none"/>
              </w:rPr>
            </w:pPr>
            <w:r>
              <w:rPr>
                <w:rFonts w:hint="eastAsia" w:ascii="仿宋" w:hAnsi="仿宋" w:eastAsia="仿宋" w:cs="仿宋"/>
                <w:b/>
                <w:bCs/>
                <w:sz w:val="21"/>
                <w:szCs w:val="21"/>
                <w:u w:val="none"/>
              </w:rPr>
              <w:t>课程安排</w:t>
            </w:r>
          </w:p>
        </w:tc>
        <w:tc>
          <w:tcPr>
            <w:tcW w:w="516" w:type="pct"/>
            <w:noWrap w:val="0"/>
            <w:tcMar>
              <w:top w:w="10" w:type="dxa"/>
              <w:left w:w="10" w:type="dxa"/>
              <w:right w:w="10" w:type="dxa"/>
            </w:tcMar>
            <w:vAlign w:val="center"/>
          </w:tcPr>
          <w:p w14:paraId="282291D9">
            <w:pPr>
              <w:adjustRightInd w:val="0"/>
              <w:snapToGrid w:val="0"/>
              <w:jc w:val="center"/>
              <w:rPr>
                <w:rFonts w:hint="eastAsia" w:ascii="仿宋" w:hAnsi="仿宋" w:eastAsia="仿宋" w:cs="仿宋"/>
                <w:b/>
                <w:bCs/>
                <w:sz w:val="21"/>
                <w:szCs w:val="21"/>
                <w:u w:val="none"/>
              </w:rPr>
            </w:pPr>
            <w:r>
              <w:rPr>
                <w:rFonts w:hint="eastAsia" w:ascii="仿宋" w:hAnsi="仿宋" w:eastAsia="仿宋" w:cs="仿宋"/>
                <w:b/>
                <w:bCs/>
                <w:sz w:val="21"/>
                <w:szCs w:val="21"/>
                <w:u w:val="none"/>
              </w:rPr>
              <w:t>学分</w:t>
            </w:r>
          </w:p>
        </w:tc>
      </w:tr>
      <w:tr w14:paraId="3F6C2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0" w:type="dxa"/>
          </w:tblCellMar>
        </w:tblPrEx>
        <w:trPr>
          <w:trHeight w:val="909" w:hRule="atLeast"/>
          <w:jc w:val="center"/>
        </w:trPr>
        <w:tc>
          <w:tcPr>
            <w:tcW w:w="768" w:type="pct"/>
            <w:vMerge w:val="restart"/>
            <w:noWrap w:val="0"/>
            <w:tcMar>
              <w:top w:w="10" w:type="dxa"/>
              <w:left w:w="10" w:type="dxa"/>
              <w:right w:w="10" w:type="dxa"/>
            </w:tcMar>
            <w:vAlign w:val="center"/>
          </w:tcPr>
          <w:p w14:paraId="756C5C89">
            <w:pPr>
              <w:adjustRightInd w:val="0"/>
              <w:snapToGrid w:val="0"/>
              <w:jc w:val="center"/>
              <w:rPr>
                <w:rFonts w:hint="eastAsia" w:ascii="仿宋" w:hAnsi="仿宋" w:eastAsia="仿宋" w:cs="仿宋"/>
                <w:sz w:val="21"/>
                <w:szCs w:val="21"/>
                <w:u w:val="none"/>
                <w:lang w:val="en-US" w:eastAsia="zh-CN"/>
              </w:rPr>
            </w:pPr>
            <w:r>
              <w:rPr>
                <w:rFonts w:hint="eastAsia" w:ascii="仿宋" w:hAnsi="仿宋" w:eastAsia="仿宋" w:cs="仿宋"/>
                <w:b/>
                <w:bCs/>
                <w:sz w:val="21"/>
                <w:szCs w:val="21"/>
                <w:u w:val="none"/>
                <w:lang w:val="en-US" w:eastAsia="zh-CN"/>
              </w:rPr>
              <w:t>通识教育</w:t>
            </w:r>
          </w:p>
        </w:tc>
        <w:tc>
          <w:tcPr>
            <w:tcW w:w="1213" w:type="pct"/>
            <w:noWrap w:val="0"/>
            <w:tcMar>
              <w:top w:w="10" w:type="dxa"/>
              <w:left w:w="10" w:type="dxa"/>
              <w:right w:w="10" w:type="dxa"/>
            </w:tcMar>
            <w:vAlign w:val="center"/>
          </w:tcPr>
          <w:p w14:paraId="1604F8B8">
            <w:pPr>
              <w:adjustRightInd w:val="0"/>
              <w:snapToGrid w:val="0"/>
              <w:jc w:val="center"/>
              <w:rPr>
                <w:rFonts w:hint="eastAsia" w:ascii="仿宋" w:hAnsi="仿宋" w:eastAsia="仿宋" w:cs="仿宋"/>
                <w:sz w:val="21"/>
                <w:szCs w:val="21"/>
                <w:u w:val="none"/>
                <w:lang w:val="en-US" w:eastAsia="zh-CN"/>
              </w:rPr>
            </w:pPr>
            <w:r>
              <w:rPr>
                <w:rFonts w:hint="eastAsia" w:ascii="仿宋" w:hAnsi="仿宋" w:eastAsia="仿宋" w:cs="仿宋"/>
                <w:sz w:val="21"/>
                <w:szCs w:val="21"/>
                <w:u w:val="none"/>
                <w:lang w:val="en-US" w:eastAsia="zh-CN"/>
              </w:rPr>
              <w:t>思想政治理论模块</w:t>
            </w:r>
          </w:p>
        </w:tc>
        <w:tc>
          <w:tcPr>
            <w:tcW w:w="2501" w:type="pct"/>
            <w:noWrap w:val="0"/>
            <w:tcMar>
              <w:top w:w="10" w:type="dxa"/>
              <w:left w:w="10" w:type="dxa"/>
              <w:right w:w="10" w:type="dxa"/>
            </w:tcMar>
            <w:vAlign w:val="center"/>
          </w:tcPr>
          <w:p w14:paraId="3B8F515E">
            <w:pPr>
              <w:keepNext w:val="0"/>
              <w:keepLines w:val="0"/>
              <w:pageBreakBefore w:val="0"/>
              <w:widowControl/>
              <w:suppressLineNumbers w:val="0"/>
              <w:kinsoku/>
              <w:wordWrap/>
              <w:overflowPunct/>
              <w:topLinePunct w:val="0"/>
              <w:autoSpaceDE/>
              <w:autoSpaceDN/>
              <w:bidi w:val="0"/>
              <w:ind w:firstLine="42" w:firstLineChars="20"/>
              <w:jc w:val="left"/>
              <w:textAlignment w:val="auto"/>
              <w:rPr>
                <w:rFonts w:hint="eastAsia" w:ascii="仿宋" w:hAnsi="仿宋" w:eastAsia="仿宋" w:cs="仿宋"/>
                <w:sz w:val="21"/>
                <w:szCs w:val="21"/>
                <w:u w:val="none"/>
                <w:lang w:val="en-US" w:eastAsia="zh-CN"/>
              </w:rPr>
            </w:pPr>
            <w:r>
              <w:rPr>
                <w:rFonts w:hint="eastAsia" w:ascii="仿宋" w:hAnsi="仿宋" w:eastAsia="仿宋" w:cs="仿宋"/>
                <w:sz w:val="21"/>
                <w:szCs w:val="21"/>
                <w:u w:val="none"/>
                <w:lang w:val="en-US" w:eastAsia="zh-CN"/>
              </w:rPr>
              <w:t>思想道德与法治、</w:t>
            </w:r>
            <w:r>
              <w:rPr>
                <w:rFonts w:hint="eastAsia" w:ascii="仿宋" w:hAnsi="仿宋" w:eastAsia="仿宋" w:cs="仿宋"/>
                <w:sz w:val="21"/>
                <w:szCs w:val="21"/>
                <w:u w:val="none"/>
              </w:rPr>
              <w:t>中国近现代史纲要、马克思主义基本原理、毛泽东思想和中国特色社会主义理论体系概论</w:t>
            </w:r>
            <w:r>
              <w:rPr>
                <w:rFonts w:hint="eastAsia" w:ascii="仿宋" w:hAnsi="仿宋" w:eastAsia="仿宋" w:cs="仿宋"/>
                <w:sz w:val="21"/>
                <w:szCs w:val="21"/>
                <w:u w:val="none"/>
                <w:lang w:eastAsia="zh-CN"/>
              </w:rPr>
              <w:t>、</w:t>
            </w:r>
            <w:r>
              <w:rPr>
                <w:rFonts w:hint="eastAsia" w:ascii="仿宋" w:hAnsi="仿宋" w:eastAsia="仿宋" w:cs="仿宋"/>
                <w:color w:val="000000"/>
                <w:kern w:val="0"/>
                <w:sz w:val="21"/>
                <w:szCs w:val="21"/>
                <w:u w:val="none"/>
                <w:lang w:val="en-US" w:eastAsia="zh-CN" w:bidi="ar"/>
              </w:rPr>
              <w:t>习近平新时代中国特色社会主义思想概论、形势与政策、四史课、</w:t>
            </w:r>
          </w:p>
        </w:tc>
        <w:tc>
          <w:tcPr>
            <w:tcW w:w="516" w:type="pct"/>
            <w:noWrap w:val="0"/>
            <w:tcMar>
              <w:top w:w="10" w:type="dxa"/>
              <w:left w:w="10" w:type="dxa"/>
              <w:right w:w="10" w:type="dxa"/>
            </w:tcMar>
            <w:vAlign w:val="center"/>
          </w:tcPr>
          <w:p w14:paraId="5D4E407A">
            <w:pPr>
              <w:adjustRightInd w:val="0"/>
              <w:snapToGrid w:val="0"/>
              <w:jc w:val="center"/>
              <w:rPr>
                <w:rFonts w:hint="eastAsia" w:ascii="仿宋" w:hAnsi="仿宋" w:eastAsia="仿宋" w:cs="仿宋"/>
                <w:sz w:val="21"/>
                <w:szCs w:val="21"/>
                <w:u w:val="none"/>
                <w:lang w:val="en-US" w:eastAsia="zh-CN"/>
              </w:rPr>
            </w:pPr>
            <w:r>
              <w:rPr>
                <w:rFonts w:hint="eastAsia" w:ascii="仿宋" w:hAnsi="仿宋" w:eastAsia="仿宋" w:cs="仿宋"/>
                <w:sz w:val="21"/>
                <w:szCs w:val="21"/>
                <w:u w:val="none"/>
                <w:lang w:val="en-US" w:eastAsia="zh-CN"/>
              </w:rPr>
              <w:t>18</w:t>
            </w:r>
          </w:p>
        </w:tc>
      </w:tr>
      <w:tr w14:paraId="6A226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0" w:type="dxa"/>
          </w:tblCellMar>
        </w:tblPrEx>
        <w:trPr>
          <w:trHeight w:val="454" w:hRule="atLeast"/>
          <w:jc w:val="center"/>
        </w:trPr>
        <w:tc>
          <w:tcPr>
            <w:tcW w:w="768" w:type="pct"/>
            <w:vMerge w:val="continue"/>
            <w:noWrap w:val="0"/>
            <w:tcMar>
              <w:top w:w="10" w:type="dxa"/>
              <w:left w:w="10" w:type="dxa"/>
              <w:right w:w="10" w:type="dxa"/>
            </w:tcMar>
            <w:vAlign w:val="center"/>
          </w:tcPr>
          <w:p w14:paraId="746B3D7E">
            <w:pPr>
              <w:adjustRightInd w:val="0"/>
              <w:snapToGrid w:val="0"/>
              <w:jc w:val="center"/>
              <w:rPr>
                <w:rFonts w:hint="eastAsia" w:ascii="仿宋" w:hAnsi="仿宋" w:eastAsia="仿宋" w:cs="仿宋"/>
                <w:sz w:val="21"/>
                <w:szCs w:val="21"/>
                <w:u w:val="none"/>
              </w:rPr>
            </w:pPr>
          </w:p>
        </w:tc>
        <w:tc>
          <w:tcPr>
            <w:tcW w:w="1213" w:type="pct"/>
            <w:noWrap w:val="0"/>
            <w:tcMar>
              <w:top w:w="10" w:type="dxa"/>
              <w:left w:w="10" w:type="dxa"/>
              <w:right w:w="10" w:type="dxa"/>
            </w:tcMar>
            <w:vAlign w:val="center"/>
          </w:tcPr>
          <w:p w14:paraId="647788D2">
            <w:pPr>
              <w:adjustRightInd w:val="0"/>
              <w:snapToGrid w:val="0"/>
              <w:jc w:val="center"/>
              <w:rPr>
                <w:rFonts w:hint="eastAsia" w:ascii="仿宋" w:hAnsi="仿宋" w:eastAsia="仿宋" w:cs="仿宋"/>
                <w:sz w:val="21"/>
                <w:szCs w:val="21"/>
                <w:u w:val="none"/>
                <w:lang w:eastAsia="zh-CN"/>
              </w:rPr>
            </w:pPr>
            <w:r>
              <w:rPr>
                <w:rFonts w:hint="eastAsia" w:ascii="仿宋" w:hAnsi="仿宋" w:eastAsia="仿宋" w:cs="仿宋"/>
                <w:sz w:val="21"/>
                <w:szCs w:val="21"/>
                <w:u w:val="none"/>
                <w:lang w:val="en-US" w:eastAsia="zh-CN"/>
              </w:rPr>
              <w:t>大学外语模块</w:t>
            </w:r>
          </w:p>
        </w:tc>
        <w:tc>
          <w:tcPr>
            <w:tcW w:w="2501" w:type="pct"/>
            <w:noWrap w:val="0"/>
            <w:tcMar>
              <w:top w:w="10" w:type="dxa"/>
              <w:left w:w="10" w:type="dxa"/>
              <w:right w:w="10" w:type="dxa"/>
            </w:tcMar>
            <w:vAlign w:val="center"/>
          </w:tcPr>
          <w:p w14:paraId="2B5F208E">
            <w:pPr>
              <w:keepNext w:val="0"/>
              <w:keepLines w:val="0"/>
              <w:pageBreakBefore w:val="0"/>
              <w:kinsoku/>
              <w:wordWrap/>
              <w:overflowPunct/>
              <w:topLinePunct w:val="0"/>
              <w:autoSpaceDE/>
              <w:autoSpaceDN/>
              <w:bidi w:val="0"/>
              <w:adjustRightInd w:val="0"/>
              <w:snapToGrid w:val="0"/>
              <w:ind w:firstLine="42" w:firstLineChars="20"/>
              <w:jc w:val="center"/>
              <w:textAlignment w:val="auto"/>
              <w:rPr>
                <w:rFonts w:hint="eastAsia" w:ascii="仿宋" w:hAnsi="仿宋" w:eastAsia="仿宋" w:cs="仿宋"/>
                <w:sz w:val="21"/>
                <w:szCs w:val="21"/>
                <w:u w:val="none"/>
              </w:rPr>
            </w:pPr>
            <w:r>
              <w:rPr>
                <w:rFonts w:hint="eastAsia" w:ascii="仿宋" w:hAnsi="仿宋" w:eastAsia="仿宋" w:cs="仿宋"/>
                <w:color w:val="000000"/>
                <w:kern w:val="0"/>
                <w:sz w:val="21"/>
                <w:szCs w:val="21"/>
                <w:u w:val="none"/>
                <w:lang w:val="en-US" w:eastAsia="zh-CN" w:bidi="ar"/>
              </w:rPr>
              <w:t>大学英语（雅思英语）、大学日语</w:t>
            </w:r>
          </w:p>
        </w:tc>
        <w:tc>
          <w:tcPr>
            <w:tcW w:w="516" w:type="pct"/>
            <w:noWrap w:val="0"/>
            <w:tcMar>
              <w:top w:w="10" w:type="dxa"/>
              <w:left w:w="10" w:type="dxa"/>
              <w:right w:w="10" w:type="dxa"/>
            </w:tcMar>
            <w:vAlign w:val="center"/>
          </w:tcPr>
          <w:p w14:paraId="7CE2507F">
            <w:pPr>
              <w:adjustRightInd w:val="0"/>
              <w:snapToGrid w:val="0"/>
              <w:jc w:val="center"/>
              <w:rPr>
                <w:rFonts w:hint="eastAsia" w:ascii="仿宋" w:hAnsi="仿宋" w:eastAsia="仿宋" w:cs="仿宋"/>
                <w:sz w:val="21"/>
                <w:szCs w:val="21"/>
                <w:u w:val="none"/>
              </w:rPr>
            </w:pPr>
            <w:r>
              <w:rPr>
                <w:rFonts w:hint="eastAsia" w:ascii="仿宋" w:hAnsi="仿宋" w:eastAsia="仿宋" w:cs="仿宋"/>
                <w:sz w:val="21"/>
                <w:szCs w:val="21"/>
                <w:u w:val="none"/>
              </w:rPr>
              <w:t>10（40）</w:t>
            </w:r>
          </w:p>
        </w:tc>
      </w:tr>
      <w:tr w14:paraId="6713E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0" w:type="dxa"/>
          </w:tblCellMar>
        </w:tblPrEx>
        <w:trPr>
          <w:trHeight w:val="454" w:hRule="atLeast"/>
          <w:jc w:val="center"/>
        </w:trPr>
        <w:tc>
          <w:tcPr>
            <w:tcW w:w="768" w:type="pct"/>
            <w:vMerge w:val="continue"/>
            <w:noWrap w:val="0"/>
            <w:tcMar>
              <w:top w:w="10" w:type="dxa"/>
              <w:left w:w="10" w:type="dxa"/>
              <w:right w:w="10" w:type="dxa"/>
            </w:tcMar>
            <w:vAlign w:val="center"/>
          </w:tcPr>
          <w:p w14:paraId="1AB225B6">
            <w:pPr>
              <w:adjustRightInd w:val="0"/>
              <w:snapToGrid w:val="0"/>
              <w:jc w:val="center"/>
              <w:rPr>
                <w:rFonts w:hint="eastAsia" w:ascii="仿宋" w:hAnsi="仿宋" w:eastAsia="仿宋" w:cs="仿宋"/>
                <w:sz w:val="21"/>
                <w:szCs w:val="21"/>
                <w:u w:val="none"/>
              </w:rPr>
            </w:pPr>
          </w:p>
        </w:tc>
        <w:tc>
          <w:tcPr>
            <w:tcW w:w="1213" w:type="pct"/>
            <w:noWrap w:val="0"/>
            <w:tcMar>
              <w:top w:w="10" w:type="dxa"/>
              <w:left w:w="10" w:type="dxa"/>
              <w:right w:w="10" w:type="dxa"/>
            </w:tcMar>
            <w:vAlign w:val="center"/>
          </w:tcPr>
          <w:p w14:paraId="17417E2D">
            <w:pPr>
              <w:adjustRightInd w:val="0"/>
              <w:snapToGrid w:val="0"/>
              <w:jc w:val="center"/>
              <w:rPr>
                <w:rFonts w:hint="eastAsia" w:ascii="仿宋" w:hAnsi="仿宋" w:eastAsia="仿宋" w:cs="仿宋"/>
                <w:sz w:val="21"/>
                <w:szCs w:val="21"/>
                <w:u w:val="none"/>
                <w:lang w:eastAsia="zh-CN"/>
              </w:rPr>
            </w:pPr>
            <w:r>
              <w:rPr>
                <w:rFonts w:hint="eastAsia" w:ascii="仿宋" w:hAnsi="仿宋" w:eastAsia="仿宋" w:cs="仿宋"/>
                <w:sz w:val="21"/>
                <w:szCs w:val="21"/>
                <w:u w:val="none"/>
              </w:rPr>
              <w:t>身心健康</w:t>
            </w:r>
            <w:r>
              <w:rPr>
                <w:rFonts w:hint="eastAsia" w:ascii="仿宋" w:hAnsi="仿宋" w:eastAsia="仿宋" w:cs="仿宋"/>
                <w:sz w:val="21"/>
                <w:szCs w:val="21"/>
                <w:u w:val="none"/>
                <w:lang w:val="en-US" w:eastAsia="zh-CN"/>
              </w:rPr>
              <w:t>模块</w:t>
            </w:r>
          </w:p>
        </w:tc>
        <w:tc>
          <w:tcPr>
            <w:tcW w:w="2501" w:type="pct"/>
            <w:noWrap w:val="0"/>
            <w:tcMar>
              <w:top w:w="10" w:type="dxa"/>
              <w:left w:w="10" w:type="dxa"/>
              <w:right w:w="10" w:type="dxa"/>
            </w:tcMar>
            <w:vAlign w:val="center"/>
          </w:tcPr>
          <w:p w14:paraId="30B0BD17">
            <w:pPr>
              <w:keepNext w:val="0"/>
              <w:keepLines w:val="0"/>
              <w:pageBreakBefore w:val="0"/>
              <w:kinsoku/>
              <w:wordWrap/>
              <w:overflowPunct/>
              <w:topLinePunct w:val="0"/>
              <w:autoSpaceDE/>
              <w:autoSpaceDN/>
              <w:bidi w:val="0"/>
              <w:adjustRightInd w:val="0"/>
              <w:snapToGrid w:val="0"/>
              <w:ind w:firstLine="42" w:firstLineChars="20"/>
              <w:jc w:val="center"/>
              <w:textAlignment w:val="auto"/>
              <w:rPr>
                <w:rFonts w:hint="eastAsia" w:ascii="仿宋" w:hAnsi="仿宋" w:eastAsia="仿宋" w:cs="仿宋"/>
                <w:sz w:val="21"/>
                <w:szCs w:val="21"/>
                <w:u w:val="none"/>
              </w:rPr>
            </w:pPr>
            <w:r>
              <w:rPr>
                <w:rFonts w:hint="eastAsia" w:ascii="仿宋" w:hAnsi="仿宋" w:eastAsia="仿宋" w:cs="仿宋"/>
                <w:sz w:val="21"/>
                <w:szCs w:val="21"/>
                <w:u w:val="none"/>
              </w:rPr>
              <w:t>军事理论</w:t>
            </w:r>
            <w:r>
              <w:rPr>
                <w:rFonts w:hint="eastAsia" w:ascii="仿宋" w:hAnsi="仿宋" w:eastAsia="仿宋" w:cs="仿宋"/>
                <w:sz w:val="21"/>
                <w:szCs w:val="21"/>
                <w:u w:val="none"/>
                <w:lang w:eastAsia="zh-CN"/>
              </w:rPr>
              <w:t>、</w:t>
            </w:r>
            <w:r>
              <w:rPr>
                <w:rFonts w:hint="eastAsia" w:ascii="仿宋" w:hAnsi="仿宋" w:eastAsia="仿宋" w:cs="仿宋"/>
                <w:sz w:val="21"/>
                <w:szCs w:val="21"/>
                <w:u w:val="none"/>
              </w:rPr>
              <w:t>大学生心理健康、</w:t>
            </w:r>
            <w:r>
              <w:rPr>
                <w:rFonts w:hint="eastAsia" w:ascii="仿宋" w:hAnsi="仿宋" w:eastAsia="仿宋" w:cs="仿宋"/>
                <w:sz w:val="21"/>
                <w:szCs w:val="21"/>
                <w:u w:val="none"/>
                <w:lang w:val="en-US" w:eastAsia="zh-CN"/>
              </w:rPr>
              <w:t>国家安全</w:t>
            </w:r>
            <w:r>
              <w:rPr>
                <w:rFonts w:hint="eastAsia" w:ascii="仿宋" w:hAnsi="仿宋" w:eastAsia="仿宋" w:cs="仿宋"/>
                <w:sz w:val="21"/>
                <w:szCs w:val="21"/>
                <w:u w:val="none"/>
              </w:rPr>
              <w:t>、</w:t>
            </w:r>
            <w:r>
              <w:rPr>
                <w:rFonts w:hint="eastAsia" w:ascii="仿宋" w:hAnsi="仿宋" w:eastAsia="仿宋" w:cs="仿宋"/>
                <w:sz w:val="21"/>
                <w:szCs w:val="21"/>
                <w:u w:val="none"/>
                <w:lang w:val="en-US" w:eastAsia="zh-CN"/>
              </w:rPr>
              <w:t>实验室安全、</w:t>
            </w:r>
            <w:r>
              <w:rPr>
                <w:rFonts w:hint="eastAsia" w:ascii="仿宋" w:hAnsi="仿宋" w:eastAsia="仿宋" w:cs="仿宋"/>
                <w:color w:val="auto"/>
                <w:sz w:val="21"/>
                <w:szCs w:val="21"/>
                <w:u w:val="none"/>
                <w:lang w:val="en-US" w:eastAsia="zh-CN"/>
              </w:rPr>
              <w:t>大学</w:t>
            </w:r>
            <w:r>
              <w:rPr>
                <w:rFonts w:hint="eastAsia" w:ascii="仿宋" w:hAnsi="仿宋" w:eastAsia="仿宋" w:cs="仿宋"/>
                <w:color w:val="auto"/>
                <w:sz w:val="21"/>
                <w:szCs w:val="21"/>
                <w:u w:val="none"/>
              </w:rPr>
              <w:t>体育</w:t>
            </w:r>
          </w:p>
        </w:tc>
        <w:tc>
          <w:tcPr>
            <w:tcW w:w="516" w:type="pct"/>
            <w:noWrap w:val="0"/>
            <w:tcMar>
              <w:top w:w="10" w:type="dxa"/>
              <w:left w:w="10" w:type="dxa"/>
              <w:right w:w="10" w:type="dxa"/>
            </w:tcMar>
            <w:vAlign w:val="center"/>
          </w:tcPr>
          <w:p w14:paraId="58679446">
            <w:pPr>
              <w:adjustRightInd w:val="0"/>
              <w:snapToGrid w:val="0"/>
              <w:jc w:val="center"/>
              <w:rPr>
                <w:rFonts w:hint="eastAsia" w:ascii="仿宋" w:hAnsi="仿宋" w:eastAsia="仿宋" w:cs="仿宋"/>
                <w:sz w:val="21"/>
                <w:szCs w:val="21"/>
                <w:u w:val="none"/>
                <w:lang w:val="en-US" w:eastAsia="zh-CN"/>
              </w:rPr>
            </w:pPr>
            <w:r>
              <w:rPr>
                <w:rFonts w:hint="eastAsia" w:ascii="仿宋" w:hAnsi="仿宋" w:eastAsia="仿宋" w:cs="仿宋"/>
                <w:sz w:val="21"/>
                <w:szCs w:val="21"/>
                <w:u w:val="none"/>
                <w:lang w:val="en-US" w:eastAsia="zh-CN"/>
              </w:rPr>
              <w:t>9.5</w:t>
            </w:r>
          </w:p>
        </w:tc>
      </w:tr>
      <w:tr w14:paraId="03D6A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0" w:type="dxa"/>
          </w:tblCellMar>
        </w:tblPrEx>
        <w:trPr>
          <w:trHeight w:val="454" w:hRule="atLeast"/>
          <w:jc w:val="center"/>
        </w:trPr>
        <w:tc>
          <w:tcPr>
            <w:tcW w:w="768" w:type="pct"/>
            <w:vMerge w:val="continue"/>
            <w:noWrap w:val="0"/>
            <w:tcMar>
              <w:top w:w="10" w:type="dxa"/>
              <w:left w:w="10" w:type="dxa"/>
              <w:right w:w="10" w:type="dxa"/>
            </w:tcMar>
            <w:vAlign w:val="center"/>
          </w:tcPr>
          <w:p w14:paraId="710A21BF">
            <w:pPr>
              <w:adjustRightInd w:val="0"/>
              <w:snapToGrid w:val="0"/>
              <w:jc w:val="center"/>
              <w:rPr>
                <w:rFonts w:hint="eastAsia" w:ascii="仿宋" w:hAnsi="仿宋" w:eastAsia="仿宋" w:cs="仿宋"/>
                <w:sz w:val="21"/>
                <w:szCs w:val="21"/>
                <w:u w:val="none"/>
              </w:rPr>
            </w:pPr>
          </w:p>
        </w:tc>
        <w:tc>
          <w:tcPr>
            <w:tcW w:w="1213" w:type="pct"/>
            <w:noWrap w:val="0"/>
            <w:tcMar>
              <w:top w:w="10" w:type="dxa"/>
              <w:left w:w="10" w:type="dxa"/>
              <w:right w:w="10" w:type="dxa"/>
            </w:tcMar>
            <w:vAlign w:val="center"/>
          </w:tcPr>
          <w:p w14:paraId="251A000E">
            <w:pPr>
              <w:adjustRightInd w:val="0"/>
              <w:snapToGrid w:val="0"/>
              <w:jc w:val="center"/>
              <w:rPr>
                <w:rFonts w:hint="eastAsia" w:ascii="仿宋" w:hAnsi="仿宋" w:eastAsia="仿宋" w:cs="仿宋"/>
                <w:sz w:val="21"/>
                <w:szCs w:val="21"/>
                <w:u w:val="none"/>
                <w:lang w:val="en-US" w:eastAsia="zh-CN"/>
              </w:rPr>
            </w:pPr>
            <w:r>
              <w:rPr>
                <w:rFonts w:hint="eastAsia" w:ascii="仿宋" w:hAnsi="仿宋" w:eastAsia="仿宋" w:cs="仿宋"/>
                <w:sz w:val="21"/>
                <w:szCs w:val="21"/>
                <w:u w:val="none"/>
              </w:rPr>
              <w:t>创新创业</w:t>
            </w:r>
            <w:r>
              <w:rPr>
                <w:rFonts w:hint="eastAsia" w:ascii="仿宋" w:hAnsi="仿宋" w:eastAsia="仿宋" w:cs="仿宋"/>
                <w:sz w:val="21"/>
                <w:szCs w:val="21"/>
                <w:u w:val="none"/>
                <w:lang w:val="en-US" w:eastAsia="zh-CN"/>
              </w:rPr>
              <w:t>模块</w:t>
            </w:r>
          </w:p>
        </w:tc>
        <w:tc>
          <w:tcPr>
            <w:tcW w:w="2501" w:type="pct"/>
            <w:noWrap w:val="0"/>
            <w:tcMar>
              <w:top w:w="10" w:type="dxa"/>
              <w:left w:w="10" w:type="dxa"/>
              <w:right w:w="10" w:type="dxa"/>
            </w:tcMar>
            <w:vAlign w:val="center"/>
          </w:tcPr>
          <w:p w14:paraId="07F741E8">
            <w:pPr>
              <w:keepNext w:val="0"/>
              <w:keepLines w:val="0"/>
              <w:pageBreakBefore w:val="0"/>
              <w:kinsoku/>
              <w:wordWrap/>
              <w:overflowPunct/>
              <w:topLinePunct w:val="0"/>
              <w:autoSpaceDE/>
              <w:autoSpaceDN/>
              <w:bidi w:val="0"/>
              <w:adjustRightInd w:val="0"/>
              <w:snapToGrid w:val="0"/>
              <w:ind w:firstLine="42" w:firstLineChars="20"/>
              <w:jc w:val="center"/>
              <w:textAlignment w:val="auto"/>
              <w:rPr>
                <w:rFonts w:hint="eastAsia" w:ascii="仿宋" w:hAnsi="仿宋" w:eastAsia="仿宋" w:cs="仿宋"/>
                <w:sz w:val="21"/>
                <w:szCs w:val="21"/>
                <w:u w:val="none"/>
              </w:rPr>
            </w:pPr>
            <w:r>
              <w:rPr>
                <w:rFonts w:hint="eastAsia" w:ascii="仿宋" w:hAnsi="仿宋" w:eastAsia="仿宋" w:cs="仿宋"/>
                <w:sz w:val="21"/>
                <w:szCs w:val="21"/>
                <w:u w:val="none"/>
              </w:rPr>
              <w:t>创业基础、大学生职业生涯规划、就业指导</w:t>
            </w:r>
          </w:p>
        </w:tc>
        <w:tc>
          <w:tcPr>
            <w:tcW w:w="516" w:type="pct"/>
            <w:noWrap w:val="0"/>
            <w:tcMar>
              <w:top w:w="10" w:type="dxa"/>
              <w:left w:w="10" w:type="dxa"/>
              <w:right w:w="10" w:type="dxa"/>
            </w:tcMar>
            <w:vAlign w:val="center"/>
          </w:tcPr>
          <w:p w14:paraId="0858BE3F">
            <w:pPr>
              <w:adjustRightInd w:val="0"/>
              <w:snapToGrid w:val="0"/>
              <w:jc w:val="center"/>
              <w:rPr>
                <w:rFonts w:hint="eastAsia" w:ascii="仿宋" w:hAnsi="仿宋" w:eastAsia="仿宋" w:cs="仿宋"/>
                <w:sz w:val="21"/>
                <w:szCs w:val="21"/>
                <w:u w:val="none"/>
              </w:rPr>
            </w:pPr>
            <w:r>
              <w:rPr>
                <w:rFonts w:hint="eastAsia" w:ascii="仿宋" w:hAnsi="仿宋" w:eastAsia="仿宋" w:cs="仿宋"/>
                <w:sz w:val="21"/>
                <w:szCs w:val="21"/>
                <w:u w:val="none"/>
              </w:rPr>
              <w:t>4</w:t>
            </w:r>
          </w:p>
        </w:tc>
      </w:tr>
      <w:tr w14:paraId="6B5EA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0" w:type="dxa"/>
          </w:tblCellMar>
        </w:tblPrEx>
        <w:trPr>
          <w:trHeight w:val="454" w:hRule="atLeast"/>
          <w:jc w:val="center"/>
        </w:trPr>
        <w:tc>
          <w:tcPr>
            <w:tcW w:w="768" w:type="pct"/>
            <w:vMerge w:val="continue"/>
            <w:noWrap w:val="0"/>
            <w:tcMar>
              <w:top w:w="10" w:type="dxa"/>
              <w:left w:w="10" w:type="dxa"/>
              <w:right w:w="10" w:type="dxa"/>
            </w:tcMar>
            <w:vAlign w:val="center"/>
          </w:tcPr>
          <w:p w14:paraId="352AD4B4">
            <w:pPr>
              <w:adjustRightInd w:val="0"/>
              <w:snapToGrid w:val="0"/>
              <w:jc w:val="center"/>
              <w:rPr>
                <w:rFonts w:hint="eastAsia" w:ascii="仿宋" w:hAnsi="仿宋" w:eastAsia="仿宋" w:cs="仿宋"/>
                <w:sz w:val="21"/>
                <w:szCs w:val="21"/>
                <w:u w:val="none"/>
              </w:rPr>
            </w:pPr>
          </w:p>
        </w:tc>
        <w:tc>
          <w:tcPr>
            <w:tcW w:w="1213" w:type="pct"/>
            <w:noWrap w:val="0"/>
            <w:tcMar>
              <w:top w:w="10" w:type="dxa"/>
              <w:left w:w="10" w:type="dxa"/>
              <w:right w:w="10" w:type="dxa"/>
            </w:tcMar>
            <w:vAlign w:val="center"/>
          </w:tcPr>
          <w:p w14:paraId="2D2185D3">
            <w:pPr>
              <w:adjustRightInd w:val="0"/>
              <w:snapToGrid w:val="0"/>
              <w:jc w:val="center"/>
              <w:rPr>
                <w:rFonts w:hint="eastAsia" w:ascii="仿宋" w:hAnsi="仿宋" w:eastAsia="仿宋" w:cs="仿宋"/>
                <w:sz w:val="21"/>
                <w:szCs w:val="21"/>
                <w:u w:val="none"/>
                <w:lang w:val="en-US" w:eastAsia="zh-CN"/>
              </w:rPr>
            </w:pPr>
            <w:r>
              <w:rPr>
                <w:rFonts w:hint="eastAsia" w:ascii="仿宋" w:hAnsi="仿宋" w:eastAsia="仿宋" w:cs="仿宋"/>
                <w:sz w:val="21"/>
                <w:szCs w:val="21"/>
                <w:u w:val="none"/>
              </w:rPr>
              <w:t>通识</w:t>
            </w:r>
            <w:r>
              <w:rPr>
                <w:rFonts w:hint="eastAsia" w:ascii="仿宋" w:hAnsi="仿宋" w:eastAsia="仿宋" w:cs="仿宋"/>
                <w:sz w:val="21"/>
                <w:szCs w:val="21"/>
                <w:u w:val="none"/>
                <w:lang w:val="en-US" w:eastAsia="zh-CN"/>
              </w:rPr>
              <w:t>素养模块</w:t>
            </w:r>
          </w:p>
        </w:tc>
        <w:tc>
          <w:tcPr>
            <w:tcW w:w="2501" w:type="pct"/>
            <w:noWrap w:val="0"/>
            <w:tcMar>
              <w:top w:w="10" w:type="dxa"/>
              <w:left w:w="10" w:type="dxa"/>
              <w:right w:w="10" w:type="dxa"/>
            </w:tcMar>
            <w:vAlign w:val="center"/>
          </w:tcPr>
          <w:p w14:paraId="6E09F1CF">
            <w:pPr>
              <w:keepNext w:val="0"/>
              <w:keepLines w:val="0"/>
              <w:pageBreakBefore w:val="0"/>
              <w:kinsoku/>
              <w:wordWrap/>
              <w:overflowPunct/>
              <w:topLinePunct w:val="0"/>
              <w:autoSpaceDE/>
              <w:autoSpaceDN/>
              <w:bidi w:val="0"/>
              <w:adjustRightInd w:val="0"/>
              <w:snapToGrid w:val="0"/>
              <w:ind w:firstLine="42" w:firstLineChars="20"/>
              <w:jc w:val="center"/>
              <w:textAlignment w:val="auto"/>
              <w:rPr>
                <w:rFonts w:hint="eastAsia" w:ascii="仿宋" w:hAnsi="仿宋" w:eastAsia="仿宋" w:cs="仿宋"/>
                <w:sz w:val="21"/>
                <w:szCs w:val="21"/>
                <w:u w:val="none"/>
              </w:rPr>
            </w:pPr>
            <w:r>
              <w:rPr>
                <w:rFonts w:hint="eastAsia" w:ascii="仿宋" w:hAnsi="仿宋" w:eastAsia="仿宋" w:cs="仿宋"/>
                <w:sz w:val="21"/>
                <w:szCs w:val="21"/>
                <w:u w:val="none"/>
              </w:rPr>
              <w:t>国际视野培养课程群、写作与沟通课程群、美学艺术课程群、信息技术素养课程群</w:t>
            </w:r>
          </w:p>
        </w:tc>
        <w:tc>
          <w:tcPr>
            <w:tcW w:w="516" w:type="pct"/>
            <w:noWrap w:val="0"/>
            <w:tcMar>
              <w:top w:w="10" w:type="dxa"/>
              <w:left w:w="10" w:type="dxa"/>
              <w:right w:w="10" w:type="dxa"/>
            </w:tcMar>
            <w:vAlign w:val="center"/>
          </w:tcPr>
          <w:p w14:paraId="314A0C3B">
            <w:pPr>
              <w:adjustRightInd w:val="0"/>
              <w:snapToGrid w:val="0"/>
              <w:jc w:val="center"/>
              <w:rPr>
                <w:rFonts w:hint="eastAsia" w:ascii="仿宋" w:hAnsi="仿宋" w:eastAsia="仿宋" w:cs="仿宋"/>
                <w:sz w:val="21"/>
                <w:szCs w:val="21"/>
                <w:u w:val="none"/>
              </w:rPr>
            </w:pPr>
            <w:r>
              <w:rPr>
                <w:rFonts w:hint="eastAsia" w:ascii="仿宋" w:hAnsi="仿宋" w:eastAsia="仿宋" w:cs="仿宋"/>
                <w:sz w:val="21"/>
                <w:szCs w:val="21"/>
                <w:u w:val="none"/>
              </w:rPr>
              <w:t>6</w:t>
            </w:r>
          </w:p>
        </w:tc>
      </w:tr>
      <w:tr w14:paraId="3D707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0" w:type="dxa"/>
          </w:tblCellMar>
        </w:tblPrEx>
        <w:trPr>
          <w:trHeight w:val="454" w:hRule="atLeast"/>
          <w:jc w:val="center"/>
        </w:trPr>
        <w:tc>
          <w:tcPr>
            <w:tcW w:w="768" w:type="pct"/>
            <w:vMerge w:val="continue"/>
            <w:noWrap w:val="0"/>
            <w:tcMar>
              <w:top w:w="10" w:type="dxa"/>
              <w:left w:w="10" w:type="dxa"/>
              <w:right w:w="10" w:type="dxa"/>
            </w:tcMar>
            <w:vAlign w:val="center"/>
          </w:tcPr>
          <w:p w14:paraId="130ECD77">
            <w:pPr>
              <w:adjustRightInd w:val="0"/>
              <w:snapToGrid w:val="0"/>
              <w:jc w:val="center"/>
              <w:rPr>
                <w:rFonts w:hint="eastAsia" w:ascii="仿宋" w:hAnsi="仿宋" w:eastAsia="仿宋" w:cs="仿宋"/>
                <w:sz w:val="21"/>
                <w:szCs w:val="21"/>
                <w:u w:val="none"/>
              </w:rPr>
            </w:pPr>
          </w:p>
        </w:tc>
        <w:tc>
          <w:tcPr>
            <w:tcW w:w="1213" w:type="pct"/>
            <w:noWrap w:val="0"/>
            <w:tcMar>
              <w:top w:w="10" w:type="dxa"/>
              <w:left w:w="10" w:type="dxa"/>
              <w:right w:w="10" w:type="dxa"/>
            </w:tcMar>
            <w:vAlign w:val="center"/>
          </w:tcPr>
          <w:p w14:paraId="7361CC49">
            <w:pPr>
              <w:adjustRightInd w:val="0"/>
              <w:snapToGrid w:val="0"/>
              <w:jc w:val="center"/>
              <w:rPr>
                <w:rFonts w:hint="eastAsia" w:ascii="仿宋" w:hAnsi="仿宋" w:eastAsia="仿宋" w:cs="仿宋"/>
                <w:sz w:val="21"/>
                <w:szCs w:val="21"/>
                <w:u w:val="none"/>
              </w:rPr>
            </w:pPr>
            <w:r>
              <w:rPr>
                <w:rFonts w:hint="eastAsia" w:ascii="仿宋" w:hAnsi="仿宋" w:eastAsia="仿宋" w:cs="仿宋"/>
                <w:sz w:val="21"/>
                <w:szCs w:val="21"/>
                <w:u w:val="none"/>
              </w:rPr>
              <w:t>公共实践</w:t>
            </w:r>
            <w:r>
              <w:rPr>
                <w:rFonts w:hint="eastAsia" w:ascii="仿宋" w:hAnsi="仿宋" w:eastAsia="仿宋" w:cs="仿宋"/>
                <w:sz w:val="21"/>
                <w:szCs w:val="21"/>
                <w:u w:val="none"/>
                <w:lang w:val="en-US" w:eastAsia="zh-CN"/>
              </w:rPr>
              <w:t>模块</w:t>
            </w:r>
          </w:p>
        </w:tc>
        <w:tc>
          <w:tcPr>
            <w:tcW w:w="2501" w:type="pct"/>
            <w:noWrap w:val="0"/>
            <w:tcMar>
              <w:top w:w="10" w:type="dxa"/>
              <w:left w:w="10" w:type="dxa"/>
              <w:right w:w="10" w:type="dxa"/>
            </w:tcMar>
            <w:vAlign w:val="center"/>
          </w:tcPr>
          <w:p w14:paraId="73B0C7CB">
            <w:pPr>
              <w:keepNext w:val="0"/>
              <w:keepLines w:val="0"/>
              <w:pageBreakBefore w:val="0"/>
              <w:kinsoku/>
              <w:wordWrap/>
              <w:overflowPunct/>
              <w:topLinePunct w:val="0"/>
              <w:autoSpaceDE/>
              <w:autoSpaceDN/>
              <w:bidi w:val="0"/>
              <w:adjustRightInd w:val="0"/>
              <w:snapToGrid w:val="0"/>
              <w:ind w:firstLine="42" w:firstLineChars="20"/>
              <w:jc w:val="center"/>
              <w:textAlignment w:val="auto"/>
              <w:rPr>
                <w:rFonts w:hint="eastAsia" w:ascii="仿宋" w:hAnsi="仿宋" w:eastAsia="仿宋" w:cs="仿宋"/>
                <w:sz w:val="21"/>
                <w:szCs w:val="21"/>
                <w:u w:val="none"/>
                <w:lang w:val="en-US" w:eastAsia="zh-CN"/>
              </w:rPr>
            </w:pPr>
            <w:r>
              <w:rPr>
                <w:rFonts w:hint="eastAsia" w:ascii="仿宋" w:hAnsi="仿宋" w:eastAsia="仿宋" w:cs="仿宋"/>
                <w:sz w:val="21"/>
                <w:szCs w:val="21"/>
                <w:u w:val="none"/>
              </w:rPr>
              <w:t>劳动教育、入学教育、毕业教育、军事技能</w:t>
            </w:r>
            <w:r>
              <w:rPr>
                <w:rFonts w:hint="eastAsia" w:ascii="仿宋" w:hAnsi="仿宋" w:eastAsia="仿宋" w:cs="仿宋"/>
                <w:sz w:val="21"/>
                <w:szCs w:val="21"/>
                <w:u w:val="none"/>
                <w:lang w:eastAsia="zh-CN"/>
              </w:rPr>
              <w:t>、</w:t>
            </w:r>
            <w:r>
              <w:rPr>
                <w:rFonts w:hint="eastAsia" w:ascii="仿宋" w:hAnsi="仿宋" w:eastAsia="仿宋" w:cs="仿宋"/>
                <w:sz w:val="21"/>
                <w:szCs w:val="21"/>
                <w:u w:val="none"/>
                <w:lang w:val="en-US" w:eastAsia="zh-CN"/>
              </w:rPr>
              <w:t>社会公益</w:t>
            </w:r>
          </w:p>
        </w:tc>
        <w:tc>
          <w:tcPr>
            <w:tcW w:w="516" w:type="pct"/>
            <w:noWrap w:val="0"/>
            <w:tcMar>
              <w:top w:w="10" w:type="dxa"/>
              <w:left w:w="10" w:type="dxa"/>
              <w:right w:w="10" w:type="dxa"/>
            </w:tcMar>
            <w:vAlign w:val="center"/>
          </w:tcPr>
          <w:p w14:paraId="5145451B">
            <w:pPr>
              <w:adjustRightInd w:val="0"/>
              <w:snapToGrid w:val="0"/>
              <w:jc w:val="center"/>
              <w:rPr>
                <w:rFonts w:hint="default" w:ascii="仿宋" w:hAnsi="仿宋" w:eastAsia="仿宋" w:cs="仿宋"/>
                <w:sz w:val="21"/>
                <w:szCs w:val="21"/>
                <w:u w:val="none"/>
                <w:lang w:val="en-US" w:eastAsia="zh-CN"/>
              </w:rPr>
            </w:pPr>
            <w:r>
              <w:rPr>
                <w:rFonts w:hint="eastAsia" w:ascii="仿宋" w:hAnsi="仿宋" w:eastAsia="仿宋" w:cs="仿宋"/>
                <w:sz w:val="21"/>
                <w:szCs w:val="21"/>
                <w:u w:val="none"/>
                <w:lang w:val="en-US" w:eastAsia="zh-CN"/>
              </w:rPr>
              <w:t>4.5</w:t>
            </w:r>
          </w:p>
        </w:tc>
      </w:tr>
      <w:tr w14:paraId="7AF20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0" w:type="dxa"/>
          </w:tblCellMar>
        </w:tblPrEx>
        <w:trPr>
          <w:trHeight w:val="454" w:hRule="atLeast"/>
          <w:jc w:val="center"/>
        </w:trPr>
        <w:tc>
          <w:tcPr>
            <w:tcW w:w="768" w:type="pct"/>
            <w:vMerge w:val="restart"/>
            <w:noWrap w:val="0"/>
            <w:tcMar>
              <w:top w:w="10" w:type="dxa"/>
              <w:left w:w="10" w:type="dxa"/>
              <w:right w:w="10" w:type="dxa"/>
            </w:tcMar>
            <w:vAlign w:val="center"/>
          </w:tcPr>
          <w:p w14:paraId="531CBEAB">
            <w:pPr>
              <w:adjustRightInd w:val="0"/>
              <w:snapToGrid w:val="0"/>
              <w:jc w:val="center"/>
              <w:rPr>
                <w:rFonts w:hint="eastAsia" w:ascii="仿宋" w:hAnsi="仿宋" w:eastAsia="仿宋" w:cs="仿宋"/>
                <w:sz w:val="21"/>
                <w:szCs w:val="21"/>
                <w:u w:val="none"/>
                <w:lang w:eastAsia="zh-CN"/>
              </w:rPr>
            </w:pPr>
            <w:r>
              <w:rPr>
                <w:rFonts w:hint="eastAsia" w:ascii="仿宋" w:hAnsi="仿宋" w:eastAsia="仿宋" w:cs="仿宋"/>
                <w:b/>
                <w:bCs/>
                <w:sz w:val="21"/>
                <w:szCs w:val="21"/>
                <w:u w:val="none"/>
                <w:lang w:val="en-US" w:eastAsia="zh-CN"/>
              </w:rPr>
              <w:t>学科专业</w:t>
            </w:r>
          </w:p>
        </w:tc>
        <w:tc>
          <w:tcPr>
            <w:tcW w:w="1213" w:type="pct"/>
            <w:noWrap w:val="0"/>
            <w:tcMar>
              <w:top w:w="10" w:type="dxa"/>
              <w:left w:w="10" w:type="dxa"/>
              <w:right w:w="10" w:type="dxa"/>
            </w:tcMar>
            <w:vAlign w:val="center"/>
          </w:tcPr>
          <w:p w14:paraId="655623DB">
            <w:pPr>
              <w:adjustRightInd w:val="0"/>
              <w:snapToGrid w:val="0"/>
              <w:jc w:val="center"/>
              <w:rPr>
                <w:rFonts w:hint="eastAsia" w:ascii="仿宋" w:hAnsi="仿宋" w:eastAsia="仿宋" w:cs="仿宋"/>
                <w:sz w:val="21"/>
                <w:szCs w:val="21"/>
                <w:u w:val="none"/>
              </w:rPr>
            </w:pPr>
            <w:r>
              <w:rPr>
                <w:rFonts w:hint="eastAsia" w:ascii="仿宋" w:hAnsi="仿宋" w:eastAsia="仿宋" w:cs="仿宋"/>
                <w:sz w:val="21"/>
                <w:szCs w:val="21"/>
                <w:u w:val="none"/>
              </w:rPr>
              <w:t>学科（专业）基础</w:t>
            </w:r>
            <w:r>
              <w:rPr>
                <w:rFonts w:hint="eastAsia" w:ascii="仿宋" w:hAnsi="仿宋" w:eastAsia="仿宋" w:cs="仿宋"/>
                <w:sz w:val="21"/>
                <w:szCs w:val="21"/>
                <w:u w:val="none"/>
                <w:lang w:val="en-US" w:eastAsia="zh-CN"/>
              </w:rPr>
              <w:t>模块</w:t>
            </w:r>
          </w:p>
        </w:tc>
        <w:tc>
          <w:tcPr>
            <w:tcW w:w="2501" w:type="pct"/>
            <w:vMerge w:val="restart"/>
            <w:noWrap w:val="0"/>
            <w:tcMar>
              <w:top w:w="10" w:type="dxa"/>
              <w:left w:w="10" w:type="dxa"/>
              <w:right w:w="10" w:type="dxa"/>
            </w:tcMar>
            <w:vAlign w:val="center"/>
          </w:tcPr>
          <w:p w14:paraId="18CBF202">
            <w:pPr>
              <w:keepNext w:val="0"/>
              <w:keepLines w:val="0"/>
              <w:pageBreakBefore w:val="0"/>
              <w:kinsoku/>
              <w:wordWrap/>
              <w:overflowPunct/>
              <w:topLinePunct w:val="0"/>
              <w:autoSpaceDE/>
              <w:autoSpaceDN/>
              <w:bidi w:val="0"/>
              <w:adjustRightInd w:val="0"/>
              <w:snapToGrid w:val="0"/>
              <w:ind w:firstLine="42" w:firstLineChars="20"/>
              <w:jc w:val="center"/>
              <w:textAlignment w:val="auto"/>
              <w:rPr>
                <w:rFonts w:hint="eastAsia" w:ascii="仿宋" w:hAnsi="仿宋" w:eastAsia="仿宋" w:cs="仿宋"/>
                <w:sz w:val="21"/>
                <w:szCs w:val="21"/>
                <w:u w:val="none"/>
                <w:lang w:val="en-US" w:eastAsia="zh-CN"/>
              </w:rPr>
            </w:pPr>
            <w:r>
              <w:rPr>
                <w:rFonts w:hint="eastAsia" w:ascii="仿宋" w:hAnsi="仿宋" w:eastAsia="仿宋" w:cs="仿宋"/>
                <w:sz w:val="21"/>
                <w:szCs w:val="21"/>
                <w:u w:val="none"/>
              </w:rPr>
              <w:t>由各专业自行设定</w:t>
            </w:r>
          </w:p>
        </w:tc>
        <w:tc>
          <w:tcPr>
            <w:tcW w:w="516" w:type="pct"/>
            <w:vMerge w:val="restart"/>
            <w:noWrap w:val="0"/>
            <w:tcMar>
              <w:top w:w="10" w:type="dxa"/>
              <w:left w:w="10" w:type="dxa"/>
              <w:right w:w="10" w:type="dxa"/>
            </w:tcMar>
            <w:vAlign w:val="center"/>
          </w:tcPr>
          <w:p w14:paraId="4E311D03">
            <w:pPr>
              <w:adjustRightInd w:val="0"/>
              <w:snapToGrid w:val="0"/>
              <w:jc w:val="center"/>
              <w:rPr>
                <w:rFonts w:hint="eastAsia" w:ascii="仿宋" w:hAnsi="仿宋" w:eastAsia="仿宋" w:cs="仿宋"/>
                <w:sz w:val="21"/>
                <w:szCs w:val="21"/>
                <w:u w:val="none"/>
              </w:rPr>
            </w:pPr>
            <w:r>
              <w:rPr>
                <w:rFonts w:hint="eastAsia" w:ascii="仿宋" w:hAnsi="仿宋" w:eastAsia="仿宋" w:cs="仿宋"/>
                <w:sz w:val="21"/>
                <w:szCs w:val="21"/>
                <w:u w:val="none"/>
              </w:rPr>
              <w:t>1</w:t>
            </w:r>
            <w:r>
              <w:rPr>
                <w:rFonts w:hint="eastAsia" w:ascii="仿宋" w:hAnsi="仿宋" w:eastAsia="仿宋" w:cs="仿宋"/>
                <w:sz w:val="21"/>
                <w:szCs w:val="21"/>
                <w:u w:val="none"/>
                <w:lang w:val="en-US" w:eastAsia="zh-CN"/>
              </w:rPr>
              <w:t>02.5</w:t>
            </w:r>
            <w:r>
              <w:rPr>
                <w:rFonts w:hint="eastAsia" w:ascii="仿宋" w:hAnsi="仿宋" w:eastAsia="仿宋" w:cs="仿宋"/>
                <w:sz w:val="21"/>
                <w:szCs w:val="21"/>
                <w:u w:val="none"/>
              </w:rPr>
              <w:t>-</w:t>
            </w:r>
          </w:p>
          <w:p w14:paraId="79C098CE">
            <w:pPr>
              <w:adjustRightInd w:val="0"/>
              <w:snapToGrid w:val="0"/>
              <w:jc w:val="center"/>
              <w:rPr>
                <w:rFonts w:hint="eastAsia" w:ascii="仿宋" w:hAnsi="仿宋" w:eastAsia="仿宋" w:cs="仿宋"/>
                <w:sz w:val="21"/>
                <w:szCs w:val="21"/>
                <w:u w:val="none"/>
                <w:lang w:val="en-US" w:eastAsia="zh-CN"/>
              </w:rPr>
            </w:pPr>
            <w:r>
              <w:rPr>
                <w:rFonts w:hint="eastAsia" w:ascii="仿宋" w:hAnsi="仿宋" w:eastAsia="仿宋" w:cs="仿宋"/>
                <w:sz w:val="21"/>
                <w:szCs w:val="21"/>
                <w:u w:val="none"/>
                <w:lang w:val="en-US" w:eastAsia="zh-CN"/>
              </w:rPr>
              <w:t>112.5</w:t>
            </w:r>
          </w:p>
        </w:tc>
      </w:tr>
      <w:tr w14:paraId="0482E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0" w:type="dxa"/>
          </w:tblCellMar>
        </w:tblPrEx>
        <w:trPr>
          <w:trHeight w:val="454" w:hRule="atLeast"/>
          <w:jc w:val="center"/>
        </w:trPr>
        <w:tc>
          <w:tcPr>
            <w:tcW w:w="768" w:type="pct"/>
            <w:vMerge w:val="continue"/>
            <w:noWrap w:val="0"/>
            <w:tcMar>
              <w:top w:w="10" w:type="dxa"/>
              <w:left w:w="10" w:type="dxa"/>
              <w:right w:w="10" w:type="dxa"/>
            </w:tcMar>
            <w:vAlign w:val="center"/>
          </w:tcPr>
          <w:p w14:paraId="498119A0">
            <w:pPr>
              <w:adjustRightInd w:val="0"/>
              <w:snapToGrid w:val="0"/>
              <w:jc w:val="center"/>
              <w:rPr>
                <w:rFonts w:hint="eastAsia" w:ascii="仿宋" w:hAnsi="仿宋" w:eastAsia="仿宋" w:cs="仿宋"/>
                <w:sz w:val="21"/>
                <w:szCs w:val="21"/>
                <w:u w:val="none"/>
              </w:rPr>
            </w:pPr>
          </w:p>
        </w:tc>
        <w:tc>
          <w:tcPr>
            <w:tcW w:w="1213" w:type="pct"/>
            <w:noWrap w:val="0"/>
            <w:tcMar>
              <w:top w:w="10" w:type="dxa"/>
              <w:left w:w="10" w:type="dxa"/>
              <w:right w:w="10" w:type="dxa"/>
            </w:tcMar>
            <w:vAlign w:val="center"/>
          </w:tcPr>
          <w:p w14:paraId="65DDE87F">
            <w:pPr>
              <w:adjustRightInd w:val="0"/>
              <w:snapToGrid w:val="0"/>
              <w:jc w:val="center"/>
              <w:rPr>
                <w:rFonts w:hint="eastAsia" w:ascii="仿宋" w:hAnsi="仿宋" w:eastAsia="仿宋" w:cs="仿宋"/>
                <w:sz w:val="21"/>
                <w:szCs w:val="21"/>
                <w:u w:val="none"/>
              </w:rPr>
            </w:pPr>
            <w:r>
              <w:rPr>
                <w:rFonts w:hint="eastAsia" w:ascii="仿宋" w:hAnsi="仿宋" w:eastAsia="仿宋" w:cs="仿宋"/>
                <w:sz w:val="21"/>
                <w:szCs w:val="21"/>
                <w:u w:val="none"/>
              </w:rPr>
              <w:t>专业</w:t>
            </w:r>
            <w:r>
              <w:rPr>
                <w:rFonts w:hint="eastAsia" w:ascii="仿宋" w:hAnsi="仿宋" w:eastAsia="仿宋" w:cs="仿宋"/>
                <w:sz w:val="21"/>
                <w:szCs w:val="21"/>
                <w:u w:val="none"/>
                <w:lang w:val="en-US" w:eastAsia="zh-CN"/>
              </w:rPr>
              <w:t>必修模块</w:t>
            </w:r>
          </w:p>
        </w:tc>
        <w:tc>
          <w:tcPr>
            <w:tcW w:w="2501" w:type="pct"/>
            <w:vMerge w:val="continue"/>
            <w:noWrap w:val="0"/>
            <w:tcMar>
              <w:top w:w="10" w:type="dxa"/>
              <w:left w:w="10" w:type="dxa"/>
              <w:right w:w="10" w:type="dxa"/>
            </w:tcMar>
            <w:vAlign w:val="center"/>
          </w:tcPr>
          <w:p w14:paraId="7DCC358A">
            <w:pPr>
              <w:keepNext w:val="0"/>
              <w:keepLines w:val="0"/>
              <w:pageBreakBefore w:val="0"/>
              <w:kinsoku/>
              <w:wordWrap/>
              <w:overflowPunct/>
              <w:topLinePunct w:val="0"/>
              <w:autoSpaceDE/>
              <w:autoSpaceDN/>
              <w:bidi w:val="0"/>
              <w:adjustRightInd w:val="0"/>
              <w:snapToGrid w:val="0"/>
              <w:ind w:firstLine="42" w:firstLineChars="20"/>
              <w:jc w:val="center"/>
              <w:textAlignment w:val="auto"/>
              <w:rPr>
                <w:rFonts w:hint="eastAsia" w:ascii="仿宋" w:hAnsi="仿宋" w:eastAsia="仿宋" w:cs="仿宋"/>
                <w:sz w:val="21"/>
                <w:szCs w:val="21"/>
                <w:u w:val="none"/>
              </w:rPr>
            </w:pPr>
          </w:p>
        </w:tc>
        <w:tc>
          <w:tcPr>
            <w:tcW w:w="516" w:type="pct"/>
            <w:vMerge w:val="continue"/>
            <w:noWrap w:val="0"/>
            <w:tcMar>
              <w:top w:w="10" w:type="dxa"/>
              <w:left w:w="10" w:type="dxa"/>
              <w:right w:w="10" w:type="dxa"/>
            </w:tcMar>
            <w:vAlign w:val="center"/>
          </w:tcPr>
          <w:p w14:paraId="63FF894A">
            <w:pPr>
              <w:adjustRightInd w:val="0"/>
              <w:snapToGrid w:val="0"/>
              <w:jc w:val="center"/>
              <w:rPr>
                <w:rFonts w:hint="eastAsia" w:ascii="仿宋" w:hAnsi="仿宋" w:eastAsia="仿宋" w:cs="仿宋"/>
                <w:sz w:val="21"/>
                <w:szCs w:val="21"/>
                <w:u w:val="none"/>
              </w:rPr>
            </w:pPr>
          </w:p>
        </w:tc>
      </w:tr>
      <w:tr w14:paraId="07DE5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0" w:type="dxa"/>
          </w:tblCellMar>
        </w:tblPrEx>
        <w:trPr>
          <w:trHeight w:val="454" w:hRule="atLeast"/>
          <w:jc w:val="center"/>
        </w:trPr>
        <w:tc>
          <w:tcPr>
            <w:tcW w:w="768" w:type="pct"/>
            <w:vMerge w:val="continue"/>
            <w:noWrap w:val="0"/>
            <w:tcMar>
              <w:top w:w="10" w:type="dxa"/>
              <w:left w:w="10" w:type="dxa"/>
              <w:right w:w="10" w:type="dxa"/>
            </w:tcMar>
            <w:vAlign w:val="center"/>
          </w:tcPr>
          <w:p w14:paraId="2C010B38">
            <w:pPr>
              <w:adjustRightInd w:val="0"/>
              <w:snapToGrid w:val="0"/>
              <w:jc w:val="center"/>
              <w:rPr>
                <w:rFonts w:hint="eastAsia" w:ascii="仿宋" w:hAnsi="仿宋" w:eastAsia="仿宋" w:cs="仿宋"/>
                <w:sz w:val="21"/>
                <w:szCs w:val="21"/>
                <w:u w:val="none"/>
              </w:rPr>
            </w:pPr>
          </w:p>
        </w:tc>
        <w:tc>
          <w:tcPr>
            <w:tcW w:w="1213" w:type="pct"/>
            <w:noWrap w:val="0"/>
            <w:tcMar>
              <w:top w:w="10" w:type="dxa"/>
              <w:left w:w="10" w:type="dxa"/>
              <w:right w:w="10" w:type="dxa"/>
            </w:tcMar>
            <w:vAlign w:val="center"/>
          </w:tcPr>
          <w:p w14:paraId="6F1E0993">
            <w:pPr>
              <w:adjustRightInd w:val="0"/>
              <w:snapToGrid w:val="0"/>
              <w:jc w:val="center"/>
              <w:rPr>
                <w:rFonts w:hint="eastAsia" w:ascii="仿宋" w:hAnsi="仿宋" w:eastAsia="仿宋" w:cs="仿宋"/>
                <w:sz w:val="21"/>
                <w:szCs w:val="21"/>
                <w:u w:val="none"/>
              </w:rPr>
            </w:pPr>
            <w:r>
              <w:rPr>
                <w:rFonts w:hint="eastAsia" w:ascii="仿宋" w:hAnsi="仿宋" w:eastAsia="仿宋" w:cs="仿宋"/>
                <w:sz w:val="21"/>
                <w:szCs w:val="21"/>
                <w:u w:val="none"/>
              </w:rPr>
              <w:t>专业选修</w:t>
            </w:r>
            <w:r>
              <w:rPr>
                <w:rFonts w:hint="eastAsia" w:ascii="仿宋" w:hAnsi="仿宋" w:eastAsia="仿宋" w:cs="仿宋"/>
                <w:sz w:val="21"/>
                <w:szCs w:val="21"/>
                <w:u w:val="none"/>
                <w:lang w:val="en-US" w:eastAsia="zh-CN"/>
              </w:rPr>
              <w:t>模块</w:t>
            </w:r>
          </w:p>
        </w:tc>
        <w:tc>
          <w:tcPr>
            <w:tcW w:w="2501" w:type="pct"/>
            <w:vMerge w:val="restart"/>
            <w:noWrap w:val="0"/>
            <w:tcMar>
              <w:top w:w="10" w:type="dxa"/>
              <w:left w:w="10" w:type="dxa"/>
              <w:right w:w="10" w:type="dxa"/>
            </w:tcMar>
            <w:vAlign w:val="center"/>
          </w:tcPr>
          <w:p w14:paraId="7C6B79D4">
            <w:pPr>
              <w:keepNext w:val="0"/>
              <w:keepLines w:val="0"/>
              <w:pageBreakBefore w:val="0"/>
              <w:kinsoku/>
              <w:wordWrap/>
              <w:overflowPunct/>
              <w:topLinePunct w:val="0"/>
              <w:autoSpaceDE/>
              <w:autoSpaceDN/>
              <w:bidi w:val="0"/>
              <w:adjustRightInd w:val="0"/>
              <w:snapToGrid w:val="0"/>
              <w:ind w:firstLine="42" w:firstLineChars="20"/>
              <w:jc w:val="center"/>
              <w:textAlignment w:val="auto"/>
              <w:rPr>
                <w:rFonts w:hint="eastAsia" w:ascii="仿宋" w:hAnsi="仿宋" w:eastAsia="仿宋" w:cs="仿宋"/>
                <w:sz w:val="21"/>
                <w:szCs w:val="21"/>
                <w:u w:val="none"/>
              </w:rPr>
            </w:pPr>
            <w:r>
              <w:rPr>
                <w:rFonts w:hint="eastAsia" w:ascii="仿宋" w:hAnsi="仿宋" w:eastAsia="仿宋" w:cs="仿宋"/>
                <w:sz w:val="21"/>
                <w:szCs w:val="21"/>
                <w:u w:val="none"/>
              </w:rPr>
              <w:t>由各专业自行设定</w:t>
            </w:r>
          </w:p>
        </w:tc>
        <w:tc>
          <w:tcPr>
            <w:tcW w:w="516" w:type="pct"/>
            <w:vMerge w:val="restart"/>
            <w:noWrap w:val="0"/>
            <w:tcMar>
              <w:top w:w="10" w:type="dxa"/>
              <w:left w:w="10" w:type="dxa"/>
              <w:right w:w="10" w:type="dxa"/>
            </w:tcMar>
            <w:vAlign w:val="center"/>
          </w:tcPr>
          <w:p w14:paraId="6DF98262">
            <w:pPr>
              <w:adjustRightInd w:val="0"/>
              <w:snapToGrid w:val="0"/>
              <w:jc w:val="center"/>
              <w:rPr>
                <w:rFonts w:hint="eastAsia" w:ascii="仿宋" w:hAnsi="仿宋" w:eastAsia="仿宋" w:cs="仿宋"/>
                <w:sz w:val="21"/>
                <w:szCs w:val="21"/>
                <w:u w:val="none"/>
              </w:rPr>
            </w:pPr>
            <w:r>
              <w:rPr>
                <w:rFonts w:hint="eastAsia" w:ascii="仿宋" w:hAnsi="仿宋" w:eastAsia="仿宋" w:cs="仿宋"/>
                <w:sz w:val="21"/>
                <w:szCs w:val="21"/>
                <w:u w:val="none"/>
              </w:rPr>
              <w:t>1</w:t>
            </w:r>
            <w:r>
              <w:rPr>
                <w:rFonts w:hint="eastAsia" w:ascii="仿宋" w:hAnsi="仿宋" w:eastAsia="仿宋" w:cs="仿宋"/>
                <w:sz w:val="21"/>
                <w:szCs w:val="21"/>
                <w:u w:val="none"/>
                <w:lang w:val="en-US" w:eastAsia="zh-CN"/>
              </w:rPr>
              <w:t>02.5</w:t>
            </w:r>
            <w:r>
              <w:rPr>
                <w:rFonts w:hint="eastAsia" w:ascii="仿宋" w:hAnsi="仿宋" w:eastAsia="仿宋" w:cs="仿宋"/>
                <w:sz w:val="21"/>
                <w:szCs w:val="21"/>
                <w:u w:val="none"/>
              </w:rPr>
              <w:t>-</w:t>
            </w:r>
          </w:p>
          <w:p w14:paraId="6DBA8D41">
            <w:pPr>
              <w:adjustRightInd w:val="0"/>
              <w:snapToGrid w:val="0"/>
              <w:jc w:val="center"/>
              <w:rPr>
                <w:rFonts w:hint="eastAsia" w:ascii="仿宋" w:hAnsi="仿宋" w:eastAsia="仿宋" w:cs="仿宋"/>
                <w:sz w:val="21"/>
                <w:szCs w:val="21"/>
                <w:u w:val="none"/>
              </w:rPr>
            </w:pPr>
            <w:r>
              <w:rPr>
                <w:rFonts w:hint="eastAsia" w:ascii="仿宋" w:hAnsi="仿宋" w:eastAsia="仿宋" w:cs="仿宋"/>
                <w:sz w:val="21"/>
                <w:szCs w:val="21"/>
                <w:u w:val="none"/>
                <w:lang w:val="en-US" w:eastAsia="zh-CN"/>
              </w:rPr>
              <w:t>112.5</w:t>
            </w:r>
          </w:p>
        </w:tc>
      </w:tr>
      <w:tr w14:paraId="3A06D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0" w:type="dxa"/>
          </w:tblCellMar>
        </w:tblPrEx>
        <w:trPr>
          <w:trHeight w:val="454" w:hRule="atLeast"/>
          <w:jc w:val="center"/>
        </w:trPr>
        <w:tc>
          <w:tcPr>
            <w:tcW w:w="768" w:type="pct"/>
            <w:vMerge w:val="continue"/>
            <w:noWrap w:val="0"/>
            <w:tcMar>
              <w:top w:w="10" w:type="dxa"/>
              <w:left w:w="10" w:type="dxa"/>
              <w:right w:w="10" w:type="dxa"/>
            </w:tcMar>
            <w:vAlign w:val="center"/>
          </w:tcPr>
          <w:p w14:paraId="6C941603">
            <w:pPr>
              <w:adjustRightInd w:val="0"/>
              <w:snapToGrid w:val="0"/>
              <w:jc w:val="center"/>
              <w:rPr>
                <w:rFonts w:hint="eastAsia" w:ascii="仿宋" w:hAnsi="仿宋" w:eastAsia="仿宋" w:cs="仿宋"/>
                <w:sz w:val="21"/>
                <w:szCs w:val="21"/>
                <w:u w:val="none"/>
              </w:rPr>
            </w:pPr>
          </w:p>
        </w:tc>
        <w:tc>
          <w:tcPr>
            <w:tcW w:w="1213" w:type="pct"/>
            <w:noWrap w:val="0"/>
            <w:tcMar>
              <w:top w:w="10" w:type="dxa"/>
              <w:left w:w="10" w:type="dxa"/>
              <w:right w:w="10" w:type="dxa"/>
            </w:tcMar>
            <w:vAlign w:val="center"/>
          </w:tcPr>
          <w:p w14:paraId="3991059D">
            <w:pPr>
              <w:adjustRightInd w:val="0"/>
              <w:snapToGrid w:val="0"/>
              <w:jc w:val="center"/>
              <w:rPr>
                <w:rFonts w:hint="eastAsia" w:ascii="仿宋" w:hAnsi="仿宋" w:eastAsia="仿宋" w:cs="仿宋"/>
                <w:sz w:val="21"/>
                <w:szCs w:val="21"/>
                <w:u w:val="none"/>
              </w:rPr>
            </w:pPr>
            <w:r>
              <w:rPr>
                <w:rFonts w:hint="eastAsia" w:ascii="仿宋" w:hAnsi="仿宋" w:eastAsia="仿宋" w:cs="仿宋"/>
                <w:sz w:val="21"/>
                <w:szCs w:val="21"/>
                <w:u w:val="none"/>
              </w:rPr>
              <w:t>专业实践</w:t>
            </w:r>
            <w:r>
              <w:rPr>
                <w:rFonts w:hint="eastAsia" w:ascii="仿宋" w:hAnsi="仿宋" w:eastAsia="仿宋" w:cs="仿宋"/>
                <w:sz w:val="21"/>
                <w:szCs w:val="21"/>
                <w:u w:val="none"/>
                <w:lang w:val="en-US" w:eastAsia="zh-CN"/>
              </w:rPr>
              <w:t>模块</w:t>
            </w:r>
          </w:p>
        </w:tc>
        <w:tc>
          <w:tcPr>
            <w:tcW w:w="2501" w:type="pct"/>
            <w:vMerge w:val="continue"/>
            <w:noWrap w:val="0"/>
            <w:tcMar>
              <w:top w:w="10" w:type="dxa"/>
              <w:left w:w="10" w:type="dxa"/>
              <w:right w:w="10" w:type="dxa"/>
            </w:tcMar>
            <w:vAlign w:val="center"/>
          </w:tcPr>
          <w:p w14:paraId="54D71A08">
            <w:pPr>
              <w:keepNext w:val="0"/>
              <w:keepLines w:val="0"/>
              <w:pageBreakBefore w:val="0"/>
              <w:kinsoku/>
              <w:wordWrap/>
              <w:overflowPunct/>
              <w:topLinePunct w:val="0"/>
              <w:autoSpaceDE/>
              <w:autoSpaceDN/>
              <w:bidi w:val="0"/>
              <w:adjustRightInd w:val="0"/>
              <w:snapToGrid w:val="0"/>
              <w:ind w:firstLine="42" w:firstLineChars="20"/>
              <w:jc w:val="center"/>
              <w:textAlignment w:val="auto"/>
              <w:rPr>
                <w:rFonts w:hint="eastAsia" w:ascii="仿宋" w:hAnsi="仿宋" w:eastAsia="仿宋" w:cs="仿宋"/>
                <w:sz w:val="21"/>
                <w:szCs w:val="21"/>
                <w:u w:val="none"/>
              </w:rPr>
            </w:pPr>
          </w:p>
        </w:tc>
        <w:tc>
          <w:tcPr>
            <w:tcW w:w="516" w:type="pct"/>
            <w:vMerge w:val="continue"/>
            <w:noWrap w:val="0"/>
            <w:tcMar>
              <w:top w:w="10" w:type="dxa"/>
              <w:left w:w="10" w:type="dxa"/>
              <w:right w:w="10" w:type="dxa"/>
            </w:tcMar>
            <w:vAlign w:val="center"/>
          </w:tcPr>
          <w:p w14:paraId="40349ABD">
            <w:pPr>
              <w:adjustRightInd w:val="0"/>
              <w:snapToGrid w:val="0"/>
              <w:jc w:val="center"/>
              <w:rPr>
                <w:rFonts w:hint="eastAsia" w:ascii="仿宋" w:hAnsi="仿宋" w:eastAsia="仿宋" w:cs="仿宋"/>
                <w:sz w:val="21"/>
                <w:szCs w:val="21"/>
                <w:u w:val="none"/>
              </w:rPr>
            </w:pPr>
          </w:p>
        </w:tc>
      </w:tr>
      <w:tr w14:paraId="18477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0" w:type="dxa"/>
          </w:tblCellMar>
        </w:tblPrEx>
        <w:trPr>
          <w:trHeight w:val="454" w:hRule="atLeast"/>
          <w:jc w:val="center"/>
        </w:trPr>
        <w:tc>
          <w:tcPr>
            <w:tcW w:w="768" w:type="pct"/>
            <w:vMerge w:val="restart"/>
            <w:noWrap w:val="0"/>
            <w:tcMar>
              <w:top w:w="10" w:type="dxa"/>
              <w:left w:w="10" w:type="dxa"/>
              <w:right w:w="10" w:type="dxa"/>
            </w:tcMar>
            <w:vAlign w:val="center"/>
          </w:tcPr>
          <w:p w14:paraId="6CF03D82">
            <w:pPr>
              <w:adjustRightInd w:val="0"/>
              <w:snapToGrid w:val="0"/>
              <w:jc w:val="center"/>
              <w:rPr>
                <w:rFonts w:hint="eastAsia" w:ascii="仿宋" w:hAnsi="仿宋" w:eastAsia="仿宋" w:cs="仿宋"/>
                <w:b/>
                <w:bCs/>
                <w:sz w:val="21"/>
                <w:szCs w:val="21"/>
                <w:u w:val="none"/>
                <w:lang w:eastAsia="zh-CN"/>
              </w:rPr>
            </w:pPr>
            <w:r>
              <w:rPr>
                <w:rFonts w:hint="eastAsia" w:ascii="仿宋" w:hAnsi="仿宋" w:eastAsia="仿宋" w:cs="仿宋"/>
                <w:b/>
                <w:bCs/>
                <w:sz w:val="21"/>
                <w:szCs w:val="21"/>
                <w:u w:val="none"/>
                <w:lang w:val="en-US" w:eastAsia="zh-CN"/>
              </w:rPr>
              <w:t>个性发展</w:t>
            </w:r>
          </w:p>
        </w:tc>
        <w:tc>
          <w:tcPr>
            <w:tcW w:w="1213" w:type="pct"/>
            <w:noWrap w:val="0"/>
            <w:tcMar>
              <w:top w:w="10" w:type="dxa"/>
              <w:left w:w="10" w:type="dxa"/>
              <w:right w:w="10" w:type="dxa"/>
            </w:tcMar>
            <w:vAlign w:val="center"/>
          </w:tcPr>
          <w:p w14:paraId="3EF5286F">
            <w:pPr>
              <w:adjustRightInd w:val="0"/>
              <w:snapToGrid w:val="0"/>
              <w:jc w:val="center"/>
              <w:rPr>
                <w:rFonts w:hint="eastAsia" w:ascii="仿宋" w:hAnsi="仿宋" w:eastAsia="仿宋" w:cs="仿宋"/>
                <w:sz w:val="21"/>
                <w:szCs w:val="21"/>
                <w:u w:val="none"/>
              </w:rPr>
            </w:pPr>
            <w:r>
              <w:rPr>
                <w:rFonts w:hint="eastAsia" w:ascii="仿宋" w:hAnsi="仿宋" w:eastAsia="仿宋" w:cs="仿宋"/>
                <w:sz w:val="21"/>
                <w:szCs w:val="21"/>
                <w:u w:val="none"/>
              </w:rPr>
              <w:t>国内考研</w:t>
            </w:r>
            <w:r>
              <w:rPr>
                <w:rFonts w:hint="eastAsia" w:ascii="仿宋" w:hAnsi="仿宋" w:eastAsia="仿宋" w:cs="仿宋"/>
                <w:sz w:val="21"/>
                <w:szCs w:val="21"/>
                <w:u w:val="none"/>
                <w:lang w:val="en-US" w:eastAsia="zh-CN"/>
              </w:rPr>
              <w:t>模块</w:t>
            </w:r>
          </w:p>
        </w:tc>
        <w:tc>
          <w:tcPr>
            <w:tcW w:w="2501" w:type="pct"/>
            <w:noWrap w:val="0"/>
            <w:tcMar>
              <w:top w:w="10" w:type="dxa"/>
              <w:left w:w="10" w:type="dxa"/>
              <w:right w:w="10" w:type="dxa"/>
            </w:tcMar>
            <w:vAlign w:val="center"/>
          </w:tcPr>
          <w:p w14:paraId="59BA78BD">
            <w:pPr>
              <w:keepNext w:val="0"/>
              <w:keepLines w:val="0"/>
              <w:pageBreakBefore w:val="0"/>
              <w:kinsoku/>
              <w:wordWrap/>
              <w:overflowPunct/>
              <w:topLinePunct w:val="0"/>
              <w:autoSpaceDE/>
              <w:autoSpaceDN/>
              <w:bidi w:val="0"/>
              <w:adjustRightInd w:val="0"/>
              <w:snapToGrid w:val="0"/>
              <w:ind w:firstLine="42" w:firstLineChars="20"/>
              <w:jc w:val="center"/>
              <w:textAlignment w:val="auto"/>
              <w:rPr>
                <w:rFonts w:hint="eastAsia" w:ascii="仿宋" w:hAnsi="仿宋" w:eastAsia="仿宋" w:cs="仿宋"/>
                <w:sz w:val="21"/>
                <w:szCs w:val="21"/>
                <w:u w:val="none"/>
              </w:rPr>
            </w:pPr>
            <w:r>
              <w:rPr>
                <w:rFonts w:hint="eastAsia" w:ascii="仿宋" w:hAnsi="仿宋" w:eastAsia="仿宋" w:cs="仿宋"/>
                <w:sz w:val="21"/>
                <w:szCs w:val="21"/>
                <w:u w:val="none"/>
              </w:rPr>
              <w:t>考研数学、考研英语</w:t>
            </w:r>
          </w:p>
        </w:tc>
        <w:tc>
          <w:tcPr>
            <w:tcW w:w="516" w:type="pct"/>
            <w:noWrap w:val="0"/>
            <w:tcMar>
              <w:top w:w="10" w:type="dxa"/>
              <w:left w:w="10" w:type="dxa"/>
              <w:right w:w="10" w:type="dxa"/>
            </w:tcMar>
            <w:vAlign w:val="center"/>
          </w:tcPr>
          <w:p w14:paraId="3E6B9DEC">
            <w:pPr>
              <w:adjustRightInd w:val="0"/>
              <w:snapToGrid w:val="0"/>
              <w:jc w:val="center"/>
              <w:rPr>
                <w:rFonts w:hint="eastAsia" w:ascii="仿宋" w:hAnsi="仿宋" w:eastAsia="仿宋" w:cs="仿宋"/>
                <w:sz w:val="21"/>
                <w:szCs w:val="21"/>
                <w:u w:val="none"/>
              </w:rPr>
            </w:pPr>
            <w:r>
              <w:rPr>
                <w:rFonts w:hint="eastAsia" w:ascii="仿宋" w:hAnsi="仿宋" w:eastAsia="仿宋" w:cs="仿宋"/>
                <w:sz w:val="21"/>
                <w:szCs w:val="21"/>
                <w:u w:val="none"/>
              </w:rPr>
              <w:t>6</w:t>
            </w:r>
          </w:p>
        </w:tc>
      </w:tr>
      <w:tr w14:paraId="08184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0" w:type="dxa"/>
          </w:tblCellMar>
        </w:tblPrEx>
        <w:trPr>
          <w:trHeight w:val="454" w:hRule="atLeast"/>
          <w:jc w:val="center"/>
        </w:trPr>
        <w:tc>
          <w:tcPr>
            <w:tcW w:w="768" w:type="pct"/>
            <w:vMerge w:val="continue"/>
            <w:noWrap w:val="0"/>
            <w:tcMar>
              <w:top w:w="10" w:type="dxa"/>
              <w:left w:w="10" w:type="dxa"/>
              <w:right w:w="10" w:type="dxa"/>
            </w:tcMar>
            <w:vAlign w:val="center"/>
          </w:tcPr>
          <w:p w14:paraId="1AF5B8A9">
            <w:pPr>
              <w:adjustRightInd w:val="0"/>
              <w:snapToGrid w:val="0"/>
              <w:jc w:val="center"/>
              <w:rPr>
                <w:rFonts w:hint="eastAsia" w:ascii="仿宋" w:hAnsi="仿宋" w:eastAsia="仿宋" w:cs="仿宋"/>
                <w:sz w:val="21"/>
                <w:szCs w:val="21"/>
                <w:u w:val="none"/>
              </w:rPr>
            </w:pPr>
          </w:p>
        </w:tc>
        <w:tc>
          <w:tcPr>
            <w:tcW w:w="1213" w:type="pct"/>
            <w:noWrap w:val="0"/>
            <w:tcMar>
              <w:top w:w="10" w:type="dxa"/>
              <w:left w:w="10" w:type="dxa"/>
              <w:right w:w="10" w:type="dxa"/>
            </w:tcMar>
            <w:vAlign w:val="center"/>
          </w:tcPr>
          <w:p w14:paraId="72AA8887">
            <w:pPr>
              <w:adjustRightInd w:val="0"/>
              <w:snapToGrid w:val="0"/>
              <w:jc w:val="center"/>
              <w:rPr>
                <w:rFonts w:hint="eastAsia" w:ascii="仿宋" w:hAnsi="仿宋" w:eastAsia="仿宋" w:cs="仿宋"/>
                <w:sz w:val="21"/>
                <w:szCs w:val="21"/>
                <w:u w:val="none"/>
              </w:rPr>
            </w:pPr>
            <w:r>
              <w:rPr>
                <w:rFonts w:hint="eastAsia" w:ascii="仿宋" w:hAnsi="仿宋" w:eastAsia="仿宋" w:cs="仿宋"/>
                <w:sz w:val="21"/>
                <w:szCs w:val="21"/>
                <w:u w:val="none"/>
              </w:rPr>
              <w:t>海外深造</w:t>
            </w:r>
            <w:r>
              <w:rPr>
                <w:rFonts w:hint="eastAsia" w:ascii="仿宋" w:hAnsi="仿宋" w:eastAsia="仿宋" w:cs="仿宋"/>
                <w:sz w:val="21"/>
                <w:szCs w:val="21"/>
                <w:u w:val="none"/>
                <w:lang w:val="en-US" w:eastAsia="zh-CN"/>
              </w:rPr>
              <w:t>模块</w:t>
            </w:r>
          </w:p>
        </w:tc>
        <w:tc>
          <w:tcPr>
            <w:tcW w:w="2501" w:type="pct"/>
            <w:noWrap w:val="0"/>
            <w:tcMar>
              <w:top w:w="10" w:type="dxa"/>
              <w:left w:w="10" w:type="dxa"/>
              <w:right w:w="10" w:type="dxa"/>
            </w:tcMar>
            <w:vAlign w:val="center"/>
          </w:tcPr>
          <w:p w14:paraId="19B53CF9">
            <w:pPr>
              <w:keepNext w:val="0"/>
              <w:keepLines w:val="0"/>
              <w:pageBreakBefore w:val="0"/>
              <w:kinsoku/>
              <w:wordWrap/>
              <w:overflowPunct/>
              <w:topLinePunct w:val="0"/>
              <w:autoSpaceDE/>
              <w:autoSpaceDN/>
              <w:bidi w:val="0"/>
              <w:adjustRightInd w:val="0"/>
              <w:snapToGrid w:val="0"/>
              <w:ind w:firstLine="42" w:firstLineChars="20"/>
              <w:jc w:val="center"/>
              <w:textAlignment w:val="auto"/>
              <w:rPr>
                <w:rFonts w:hint="eastAsia" w:ascii="仿宋" w:hAnsi="仿宋" w:eastAsia="仿宋" w:cs="仿宋"/>
                <w:sz w:val="21"/>
                <w:szCs w:val="21"/>
                <w:u w:val="none"/>
              </w:rPr>
            </w:pPr>
            <w:r>
              <w:rPr>
                <w:rFonts w:hint="eastAsia" w:ascii="仿宋" w:hAnsi="仿宋" w:eastAsia="仿宋" w:cs="仿宋"/>
                <w:sz w:val="21"/>
                <w:szCs w:val="21"/>
                <w:u w:val="none"/>
              </w:rPr>
              <w:t>雅思课程（听说读写）</w:t>
            </w:r>
          </w:p>
        </w:tc>
        <w:tc>
          <w:tcPr>
            <w:tcW w:w="516" w:type="pct"/>
            <w:noWrap w:val="0"/>
            <w:tcMar>
              <w:top w:w="10" w:type="dxa"/>
              <w:left w:w="10" w:type="dxa"/>
              <w:right w:w="10" w:type="dxa"/>
            </w:tcMar>
            <w:vAlign w:val="center"/>
          </w:tcPr>
          <w:p w14:paraId="7DDA0527">
            <w:pPr>
              <w:adjustRightInd w:val="0"/>
              <w:snapToGrid w:val="0"/>
              <w:jc w:val="center"/>
              <w:rPr>
                <w:rFonts w:hint="eastAsia" w:ascii="仿宋" w:hAnsi="仿宋" w:eastAsia="仿宋" w:cs="仿宋"/>
                <w:sz w:val="21"/>
                <w:szCs w:val="21"/>
                <w:u w:val="none"/>
              </w:rPr>
            </w:pPr>
            <w:r>
              <w:rPr>
                <w:rFonts w:hint="eastAsia" w:ascii="仿宋" w:hAnsi="仿宋" w:eastAsia="仿宋" w:cs="仿宋"/>
                <w:sz w:val="21"/>
                <w:szCs w:val="21"/>
                <w:u w:val="none"/>
              </w:rPr>
              <w:t>6</w:t>
            </w:r>
          </w:p>
        </w:tc>
      </w:tr>
      <w:tr w14:paraId="630D7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0" w:type="dxa"/>
          </w:tblCellMar>
        </w:tblPrEx>
        <w:trPr>
          <w:trHeight w:val="454" w:hRule="atLeast"/>
          <w:jc w:val="center"/>
        </w:trPr>
        <w:tc>
          <w:tcPr>
            <w:tcW w:w="768" w:type="pct"/>
            <w:vMerge w:val="continue"/>
            <w:noWrap w:val="0"/>
            <w:tcMar>
              <w:top w:w="10" w:type="dxa"/>
              <w:left w:w="10" w:type="dxa"/>
              <w:right w:w="10" w:type="dxa"/>
            </w:tcMar>
            <w:vAlign w:val="center"/>
          </w:tcPr>
          <w:p w14:paraId="251B79C6">
            <w:pPr>
              <w:adjustRightInd w:val="0"/>
              <w:snapToGrid w:val="0"/>
              <w:jc w:val="center"/>
              <w:rPr>
                <w:rFonts w:hint="eastAsia" w:ascii="仿宋" w:hAnsi="仿宋" w:eastAsia="仿宋" w:cs="仿宋"/>
                <w:sz w:val="21"/>
                <w:szCs w:val="21"/>
                <w:u w:val="none"/>
              </w:rPr>
            </w:pPr>
          </w:p>
        </w:tc>
        <w:tc>
          <w:tcPr>
            <w:tcW w:w="1213" w:type="pct"/>
            <w:noWrap w:val="0"/>
            <w:tcMar>
              <w:top w:w="10" w:type="dxa"/>
              <w:left w:w="10" w:type="dxa"/>
              <w:right w:w="10" w:type="dxa"/>
            </w:tcMar>
            <w:vAlign w:val="center"/>
          </w:tcPr>
          <w:p w14:paraId="10BD97F1">
            <w:pPr>
              <w:adjustRightInd w:val="0"/>
              <w:snapToGrid w:val="0"/>
              <w:jc w:val="center"/>
              <w:rPr>
                <w:rFonts w:hint="eastAsia" w:ascii="仿宋" w:hAnsi="仿宋" w:eastAsia="仿宋" w:cs="仿宋"/>
                <w:sz w:val="21"/>
                <w:szCs w:val="21"/>
                <w:u w:val="none"/>
              </w:rPr>
            </w:pPr>
            <w:r>
              <w:rPr>
                <w:rFonts w:hint="eastAsia" w:ascii="仿宋" w:hAnsi="仿宋" w:eastAsia="仿宋" w:cs="仿宋"/>
                <w:sz w:val="21"/>
                <w:szCs w:val="21"/>
                <w:u w:val="none"/>
              </w:rPr>
              <w:t>创新实践</w:t>
            </w:r>
            <w:r>
              <w:rPr>
                <w:rFonts w:hint="eastAsia" w:ascii="仿宋" w:hAnsi="仿宋" w:eastAsia="仿宋" w:cs="仿宋"/>
                <w:sz w:val="21"/>
                <w:szCs w:val="21"/>
                <w:u w:val="none"/>
                <w:lang w:val="en-US" w:eastAsia="zh-CN"/>
              </w:rPr>
              <w:t>模块</w:t>
            </w:r>
          </w:p>
        </w:tc>
        <w:tc>
          <w:tcPr>
            <w:tcW w:w="2501" w:type="pct"/>
            <w:noWrap w:val="0"/>
            <w:tcMar>
              <w:top w:w="10" w:type="dxa"/>
              <w:left w:w="10" w:type="dxa"/>
              <w:right w:w="10" w:type="dxa"/>
            </w:tcMar>
            <w:vAlign w:val="center"/>
          </w:tcPr>
          <w:p w14:paraId="16933591">
            <w:pPr>
              <w:keepNext w:val="0"/>
              <w:keepLines w:val="0"/>
              <w:pageBreakBefore w:val="0"/>
              <w:kinsoku/>
              <w:wordWrap/>
              <w:overflowPunct/>
              <w:topLinePunct w:val="0"/>
              <w:autoSpaceDE/>
              <w:autoSpaceDN/>
              <w:bidi w:val="0"/>
              <w:adjustRightInd w:val="0"/>
              <w:snapToGrid w:val="0"/>
              <w:ind w:firstLine="42" w:firstLineChars="20"/>
              <w:jc w:val="center"/>
              <w:textAlignment w:val="auto"/>
              <w:rPr>
                <w:rFonts w:hint="eastAsia" w:ascii="仿宋" w:hAnsi="仿宋" w:eastAsia="仿宋" w:cs="仿宋"/>
                <w:sz w:val="21"/>
                <w:szCs w:val="21"/>
                <w:u w:val="none"/>
              </w:rPr>
            </w:pPr>
            <w:r>
              <w:rPr>
                <w:rFonts w:hint="eastAsia" w:ascii="仿宋" w:hAnsi="仿宋" w:eastAsia="仿宋" w:cs="仿宋"/>
                <w:sz w:val="21"/>
                <w:szCs w:val="21"/>
                <w:u w:val="none"/>
              </w:rPr>
              <w:t>各专业自行设定</w:t>
            </w:r>
          </w:p>
        </w:tc>
        <w:tc>
          <w:tcPr>
            <w:tcW w:w="516" w:type="pct"/>
            <w:noWrap w:val="0"/>
            <w:tcMar>
              <w:top w:w="10" w:type="dxa"/>
              <w:left w:w="10" w:type="dxa"/>
              <w:right w:w="10" w:type="dxa"/>
            </w:tcMar>
            <w:vAlign w:val="center"/>
          </w:tcPr>
          <w:p w14:paraId="272E1C6D">
            <w:pPr>
              <w:adjustRightInd w:val="0"/>
              <w:snapToGrid w:val="0"/>
              <w:jc w:val="center"/>
              <w:rPr>
                <w:rFonts w:hint="eastAsia" w:ascii="仿宋" w:hAnsi="仿宋" w:eastAsia="仿宋" w:cs="仿宋"/>
                <w:sz w:val="21"/>
                <w:szCs w:val="21"/>
                <w:u w:val="none"/>
              </w:rPr>
            </w:pPr>
            <w:r>
              <w:rPr>
                <w:rFonts w:hint="eastAsia" w:ascii="仿宋" w:hAnsi="仿宋" w:eastAsia="仿宋" w:cs="仿宋"/>
                <w:sz w:val="21"/>
                <w:szCs w:val="21"/>
                <w:u w:val="none"/>
              </w:rPr>
              <w:t>6</w:t>
            </w:r>
          </w:p>
        </w:tc>
      </w:tr>
      <w:tr w14:paraId="7F05C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0" w:type="dxa"/>
          </w:tblCellMar>
        </w:tblPrEx>
        <w:trPr>
          <w:trHeight w:val="454" w:hRule="atLeast"/>
          <w:jc w:val="center"/>
        </w:trPr>
        <w:tc>
          <w:tcPr>
            <w:tcW w:w="768" w:type="pct"/>
            <w:vMerge w:val="continue"/>
            <w:noWrap w:val="0"/>
            <w:tcMar>
              <w:top w:w="10" w:type="dxa"/>
              <w:left w:w="10" w:type="dxa"/>
              <w:right w:w="10" w:type="dxa"/>
            </w:tcMar>
            <w:vAlign w:val="center"/>
          </w:tcPr>
          <w:p w14:paraId="4F50B9E9">
            <w:pPr>
              <w:adjustRightInd w:val="0"/>
              <w:snapToGrid w:val="0"/>
              <w:jc w:val="center"/>
              <w:rPr>
                <w:rFonts w:hint="eastAsia" w:ascii="仿宋" w:hAnsi="仿宋" w:eastAsia="仿宋" w:cs="仿宋"/>
                <w:sz w:val="21"/>
                <w:szCs w:val="21"/>
                <w:u w:val="none"/>
              </w:rPr>
            </w:pPr>
          </w:p>
        </w:tc>
        <w:tc>
          <w:tcPr>
            <w:tcW w:w="1213" w:type="pct"/>
            <w:noWrap w:val="0"/>
            <w:tcMar>
              <w:top w:w="10" w:type="dxa"/>
              <w:left w:w="10" w:type="dxa"/>
              <w:right w:w="10" w:type="dxa"/>
            </w:tcMar>
            <w:vAlign w:val="center"/>
          </w:tcPr>
          <w:p w14:paraId="4DCC8D61">
            <w:pPr>
              <w:adjustRightInd w:val="0"/>
              <w:snapToGrid w:val="0"/>
              <w:jc w:val="center"/>
              <w:rPr>
                <w:rFonts w:hint="eastAsia" w:ascii="仿宋" w:hAnsi="仿宋" w:eastAsia="仿宋" w:cs="仿宋"/>
                <w:sz w:val="21"/>
                <w:szCs w:val="21"/>
                <w:u w:val="none"/>
              </w:rPr>
            </w:pPr>
            <w:r>
              <w:rPr>
                <w:rFonts w:hint="eastAsia" w:ascii="仿宋" w:hAnsi="仿宋" w:eastAsia="仿宋" w:cs="仿宋"/>
                <w:sz w:val="21"/>
                <w:szCs w:val="21"/>
                <w:u w:val="none"/>
              </w:rPr>
              <w:t>跨专业</w:t>
            </w:r>
            <w:r>
              <w:rPr>
                <w:rFonts w:hint="eastAsia" w:ascii="仿宋" w:hAnsi="仿宋" w:eastAsia="仿宋" w:cs="仿宋"/>
                <w:sz w:val="21"/>
                <w:szCs w:val="21"/>
                <w:u w:val="none"/>
                <w:lang w:val="en-US" w:eastAsia="zh-CN"/>
              </w:rPr>
              <w:t>模块</w:t>
            </w:r>
          </w:p>
        </w:tc>
        <w:tc>
          <w:tcPr>
            <w:tcW w:w="2501" w:type="pct"/>
            <w:noWrap w:val="0"/>
            <w:tcMar>
              <w:top w:w="10" w:type="dxa"/>
              <w:left w:w="10" w:type="dxa"/>
              <w:right w:w="10" w:type="dxa"/>
            </w:tcMar>
            <w:vAlign w:val="center"/>
          </w:tcPr>
          <w:p w14:paraId="33BDCEDD">
            <w:pPr>
              <w:keepNext w:val="0"/>
              <w:keepLines w:val="0"/>
              <w:pageBreakBefore w:val="0"/>
              <w:kinsoku/>
              <w:wordWrap/>
              <w:overflowPunct/>
              <w:topLinePunct w:val="0"/>
              <w:autoSpaceDE/>
              <w:autoSpaceDN/>
              <w:bidi w:val="0"/>
              <w:adjustRightInd w:val="0"/>
              <w:snapToGrid w:val="0"/>
              <w:ind w:firstLine="42" w:firstLineChars="20"/>
              <w:jc w:val="center"/>
              <w:textAlignment w:val="auto"/>
              <w:rPr>
                <w:rFonts w:hint="eastAsia" w:ascii="仿宋" w:hAnsi="仿宋" w:eastAsia="仿宋" w:cs="仿宋"/>
                <w:sz w:val="21"/>
                <w:szCs w:val="21"/>
                <w:u w:val="none"/>
              </w:rPr>
            </w:pPr>
            <w:r>
              <w:rPr>
                <w:rFonts w:hint="eastAsia" w:ascii="仿宋" w:hAnsi="仿宋" w:eastAsia="仿宋" w:cs="仿宋"/>
                <w:sz w:val="21"/>
                <w:szCs w:val="21"/>
                <w:u w:val="none"/>
              </w:rPr>
              <w:t>各专业自行设定</w:t>
            </w:r>
          </w:p>
        </w:tc>
        <w:tc>
          <w:tcPr>
            <w:tcW w:w="516" w:type="pct"/>
            <w:noWrap w:val="0"/>
            <w:tcMar>
              <w:top w:w="10" w:type="dxa"/>
              <w:left w:w="10" w:type="dxa"/>
              <w:right w:w="10" w:type="dxa"/>
            </w:tcMar>
            <w:vAlign w:val="center"/>
          </w:tcPr>
          <w:p w14:paraId="5AF541EC">
            <w:pPr>
              <w:adjustRightInd w:val="0"/>
              <w:snapToGrid w:val="0"/>
              <w:jc w:val="center"/>
              <w:rPr>
                <w:rFonts w:hint="eastAsia" w:ascii="仿宋" w:hAnsi="仿宋" w:eastAsia="仿宋" w:cs="仿宋"/>
                <w:sz w:val="21"/>
                <w:szCs w:val="21"/>
                <w:u w:val="none"/>
              </w:rPr>
            </w:pPr>
            <w:r>
              <w:rPr>
                <w:rFonts w:hint="eastAsia" w:ascii="仿宋" w:hAnsi="仿宋" w:eastAsia="仿宋" w:cs="仿宋"/>
                <w:sz w:val="21"/>
                <w:szCs w:val="21"/>
                <w:u w:val="none"/>
              </w:rPr>
              <w:t>6</w:t>
            </w:r>
          </w:p>
        </w:tc>
      </w:tr>
    </w:tbl>
    <w:p w14:paraId="3E7C65D6">
      <w:pPr>
        <w:ind w:firstLine="422"/>
        <w:jc w:val="center"/>
        <w:rPr>
          <w:rFonts w:hint="eastAsia" w:ascii="宋体" w:hAnsi="宋体" w:cs="宋体"/>
          <w:b/>
          <w:bCs/>
        </w:rPr>
      </w:pPr>
    </w:p>
    <w:p w14:paraId="40C70376">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rPr>
          <w:rFonts w:hint="eastAsia" w:ascii="仿宋_GB2312" w:hAnsi="仿宋_GB2312" w:eastAsia="仿宋_GB2312" w:cs="仿宋_GB2312"/>
          <w:b/>
          <w:bCs/>
          <w:sz w:val="30"/>
          <w:szCs w:val="30"/>
          <w:lang w:val="en-US" w:eastAsia="zh-CN"/>
        </w:rPr>
      </w:pPr>
      <w:r>
        <w:rPr>
          <w:rFonts w:hint="eastAsia" w:ascii="仿宋_GB2312" w:hAnsi="仿宋_GB2312" w:eastAsia="仿宋_GB2312" w:cs="仿宋_GB2312"/>
          <w:b/>
          <w:bCs/>
          <w:sz w:val="30"/>
          <w:szCs w:val="30"/>
          <w:lang w:val="en-US" w:eastAsia="zh-CN"/>
        </w:rPr>
        <w:t>（一）通识教育平台</w:t>
      </w:r>
    </w:p>
    <w:p w14:paraId="563F7C3A">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通识教育平台包含思政课、语言课、身心健康、创新创业、通识素养、公共实践课六大模块。</w:t>
      </w:r>
    </w:p>
    <w:p w14:paraId="0FFD6A00">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1.思想政治理论课</w:t>
      </w:r>
    </w:p>
    <w:p w14:paraId="7A7FBF39">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严格按照《新时代学校思想政治理论课改革创新实施方案》《教育部关于加强新时代高校“形势与政策”课建设的若干意见》等文件精神，落实思想政治理论课的设置，其中“思想道德与法治”3学分；“中国近现代史纲要”3学分；“马克思主义基本原理”3学分；“毛泽东思想和中国特色社会主义理论体系概论”3学分；“习近平新时代中国特色社会主义思想概论”3学分；“形势与政策”2学分，“党史、新中国史、改革开放史、社会主义发展史”为限定选修课，每门课为1学分，学生至少修够1个学分。思想政治理论课18个学分（理论课 15 学分、社会实践3 学分）。</w:t>
      </w:r>
    </w:p>
    <w:p w14:paraId="749510D4">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rPr>
          <w:rFonts w:hint="eastAsia" w:ascii="仿宋_GB2312" w:hAnsi="仿宋_GB2312" w:eastAsia="仿宋_GB2312" w:cs="仿宋_GB2312"/>
          <w:b w:val="0"/>
          <w:bCs w:val="0"/>
          <w:sz w:val="30"/>
          <w:szCs w:val="30"/>
          <w:lang w:val="en-US" w:eastAsia="zh-CN"/>
        </w:rPr>
      </w:pPr>
      <w:r>
        <w:rPr>
          <w:rFonts w:hint="eastAsia" w:ascii="仿宋_GB2312" w:hAnsi="仿宋_GB2312" w:eastAsia="仿宋_GB2312" w:cs="仿宋_GB2312"/>
          <w:b w:val="0"/>
          <w:bCs w:val="0"/>
          <w:sz w:val="30"/>
          <w:szCs w:val="30"/>
          <w:lang w:val="en-US" w:eastAsia="zh-CN"/>
        </w:rPr>
        <w:t>表2   思想政治理论模板课程设置一览表</w:t>
      </w:r>
    </w:p>
    <w:tbl>
      <w:tblPr>
        <w:tblStyle w:val="9"/>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12"/>
        <w:gridCol w:w="750"/>
        <w:gridCol w:w="812"/>
        <w:gridCol w:w="805"/>
        <w:gridCol w:w="977"/>
      </w:tblGrid>
      <w:tr w14:paraId="18CCF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blHeader/>
        </w:trPr>
        <w:tc>
          <w:tcPr>
            <w:tcW w:w="3153" w:type="pct"/>
            <w:vAlign w:val="center"/>
          </w:tcPr>
          <w:p w14:paraId="66D68E2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 w:hAnsi="仿宋" w:eastAsia="仿宋" w:cs="仿宋"/>
                <w:b/>
                <w:bCs/>
                <w:sz w:val="21"/>
                <w:szCs w:val="21"/>
                <w:vertAlign w:val="baseline"/>
                <w:lang w:val="en-US" w:eastAsia="zh-CN"/>
              </w:rPr>
            </w:pPr>
            <w:r>
              <w:rPr>
                <w:rFonts w:hint="eastAsia" w:ascii="仿宋" w:hAnsi="仿宋" w:eastAsia="仿宋" w:cs="仿宋"/>
                <w:b/>
                <w:bCs/>
                <w:sz w:val="21"/>
                <w:szCs w:val="21"/>
                <w:vertAlign w:val="baseline"/>
                <w:lang w:val="en-US" w:eastAsia="zh-CN"/>
              </w:rPr>
              <w:t>课程名称</w:t>
            </w:r>
          </w:p>
        </w:tc>
        <w:tc>
          <w:tcPr>
            <w:tcW w:w="414" w:type="pct"/>
            <w:vAlign w:val="center"/>
          </w:tcPr>
          <w:p w14:paraId="30EE6728">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 w:hAnsi="仿宋" w:eastAsia="仿宋" w:cs="仿宋"/>
                <w:b/>
                <w:bCs/>
                <w:sz w:val="21"/>
                <w:szCs w:val="21"/>
                <w:vertAlign w:val="baseline"/>
                <w:lang w:val="en-US" w:eastAsia="zh-CN"/>
              </w:rPr>
            </w:pPr>
            <w:r>
              <w:rPr>
                <w:rFonts w:hint="eastAsia" w:ascii="仿宋" w:hAnsi="仿宋" w:eastAsia="仿宋" w:cs="仿宋"/>
                <w:b/>
                <w:bCs/>
                <w:sz w:val="21"/>
                <w:szCs w:val="21"/>
                <w:vertAlign w:val="baseline"/>
                <w:lang w:val="en-US" w:eastAsia="zh-CN"/>
              </w:rPr>
              <w:t>课程性质</w:t>
            </w:r>
          </w:p>
        </w:tc>
        <w:tc>
          <w:tcPr>
            <w:tcW w:w="448" w:type="pct"/>
            <w:vAlign w:val="center"/>
          </w:tcPr>
          <w:p w14:paraId="3E247F1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 w:hAnsi="仿宋" w:eastAsia="仿宋" w:cs="仿宋"/>
                <w:b/>
                <w:bCs/>
                <w:sz w:val="21"/>
                <w:szCs w:val="21"/>
                <w:vertAlign w:val="baseline"/>
                <w:lang w:val="en-US" w:eastAsia="zh-CN"/>
              </w:rPr>
            </w:pPr>
            <w:r>
              <w:rPr>
                <w:rFonts w:hint="eastAsia" w:ascii="仿宋" w:hAnsi="仿宋" w:eastAsia="仿宋" w:cs="仿宋"/>
                <w:b/>
                <w:bCs/>
                <w:sz w:val="21"/>
                <w:szCs w:val="21"/>
                <w:vertAlign w:val="baseline"/>
                <w:lang w:val="en-US" w:eastAsia="zh-CN"/>
              </w:rPr>
              <w:t>理论学分</w:t>
            </w:r>
          </w:p>
        </w:tc>
        <w:tc>
          <w:tcPr>
            <w:tcW w:w="444" w:type="pct"/>
            <w:vAlign w:val="center"/>
          </w:tcPr>
          <w:p w14:paraId="11D42450">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 w:hAnsi="仿宋" w:eastAsia="仿宋" w:cs="仿宋"/>
                <w:b/>
                <w:bCs/>
                <w:sz w:val="21"/>
                <w:szCs w:val="21"/>
                <w:vertAlign w:val="baseline"/>
                <w:lang w:val="en-US" w:eastAsia="zh-CN"/>
              </w:rPr>
            </w:pPr>
            <w:r>
              <w:rPr>
                <w:rFonts w:hint="eastAsia" w:ascii="仿宋" w:hAnsi="仿宋" w:eastAsia="仿宋" w:cs="仿宋"/>
                <w:b/>
                <w:bCs/>
                <w:sz w:val="21"/>
                <w:szCs w:val="21"/>
                <w:vertAlign w:val="baseline"/>
                <w:lang w:val="en-US" w:eastAsia="zh-CN"/>
              </w:rPr>
              <w:t>实践学分</w:t>
            </w:r>
          </w:p>
        </w:tc>
        <w:tc>
          <w:tcPr>
            <w:tcW w:w="539" w:type="pct"/>
            <w:vAlign w:val="center"/>
          </w:tcPr>
          <w:p w14:paraId="5469311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 w:hAnsi="仿宋" w:eastAsia="仿宋" w:cs="仿宋"/>
                <w:b/>
                <w:bCs/>
                <w:sz w:val="21"/>
                <w:szCs w:val="21"/>
                <w:vertAlign w:val="baseline"/>
                <w:lang w:val="en-US" w:eastAsia="zh-CN"/>
              </w:rPr>
            </w:pPr>
            <w:r>
              <w:rPr>
                <w:rFonts w:hint="eastAsia" w:ascii="仿宋" w:hAnsi="仿宋" w:eastAsia="仿宋" w:cs="仿宋"/>
                <w:b/>
                <w:bCs/>
                <w:sz w:val="21"/>
                <w:szCs w:val="21"/>
                <w:vertAlign w:val="baseline"/>
                <w:lang w:val="en-US" w:eastAsia="zh-CN"/>
              </w:rPr>
              <w:t>总学分</w:t>
            </w:r>
          </w:p>
        </w:tc>
      </w:tr>
      <w:tr w14:paraId="24CE3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53" w:type="pct"/>
            <w:vAlign w:val="center"/>
          </w:tcPr>
          <w:p w14:paraId="627421D2">
            <w:pPr>
              <w:keepNext w:val="0"/>
              <w:keepLines w:val="0"/>
              <w:widowControl/>
              <w:suppressLineNumbers w:val="0"/>
              <w:spacing w:before="0" w:beforeAutospacing="0" w:after="0" w:afterAutospacing="0"/>
              <w:ind w:left="0" w:right="0"/>
              <w:jc w:val="left"/>
              <w:rPr>
                <w:rFonts w:hint="eastAsia" w:ascii="仿宋" w:hAnsi="仿宋" w:eastAsia="仿宋" w:cs="仿宋"/>
                <w:kern w:val="0"/>
                <w:sz w:val="21"/>
                <w:szCs w:val="21"/>
              </w:rPr>
            </w:pPr>
            <w:r>
              <w:rPr>
                <w:rFonts w:hint="eastAsia" w:ascii="仿宋" w:hAnsi="仿宋" w:eastAsia="仿宋" w:cs="仿宋"/>
                <w:kern w:val="0"/>
                <w:sz w:val="21"/>
                <w:szCs w:val="21"/>
              </w:rPr>
              <w:t>思想道德与法治</w:t>
            </w:r>
          </w:p>
          <w:p w14:paraId="0656F0F2">
            <w:pPr>
              <w:keepNext w:val="0"/>
              <w:keepLines w:val="0"/>
              <w:widowControl/>
              <w:suppressLineNumbers w:val="0"/>
              <w:spacing w:before="0" w:beforeAutospacing="0" w:after="0" w:afterAutospacing="0"/>
              <w:ind w:left="0" w:leftChars="0" w:right="0" w:rightChars="0"/>
              <w:jc w:val="left"/>
              <w:rPr>
                <w:rFonts w:hint="eastAsia" w:ascii="仿宋" w:hAnsi="仿宋" w:eastAsia="仿宋" w:cs="仿宋"/>
                <w:sz w:val="21"/>
                <w:szCs w:val="21"/>
                <w:vertAlign w:val="baseline"/>
              </w:rPr>
            </w:pPr>
            <w:r>
              <w:rPr>
                <w:rFonts w:hint="eastAsia" w:ascii="仿宋" w:hAnsi="仿宋" w:eastAsia="仿宋" w:cs="仿宋"/>
                <w:color w:val="000000"/>
                <w:kern w:val="0"/>
                <w:sz w:val="21"/>
                <w:szCs w:val="21"/>
                <w:lang w:bidi="ar"/>
              </w:rPr>
              <w:t>Morality and the Rule of Law</w:t>
            </w:r>
          </w:p>
        </w:tc>
        <w:tc>
          <w:tcPr>
            <w:tcW w:w="414" w:type="pct"/>
            <w:vAlign w:val="center"/>
          </w:tcPr>
          <w:p w14:paraId="5D1F1CC7">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必修</w:t>
            </w:r>
          </w:p>
        </w:tc>
        <w:tc>
          <w:tcPr>
            <w:tcW w:w="448" w:type="pct"/>
            <w:vAlign w:val="center"/>
          </w:tcPr>
          <w:p w14:paraId="00625DAA">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2.5</w:t>
            </w:r>
          </w:p>
        </w:tc>
        <w:tc>
          <w:tcPr>
            <w:tcW w:w="444" w:type="pct"/>
            <w:vAlign w:val="center"/>
          </w:tcPr>
          <w:p w14:paraId="1EC813C7">
            <w:pPr>
              <w:spacing w:line="360" w:lineRule="auto"/>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0.5</w:t>
            </w:r>
          </w:p>
        </w:tc>
        <w:tc>
          <w:tcPr>
            <w:tcW w:w="539" w:type="pct"/>
            <w:vAlign w:val="center"/>
          </w:tcPr>
          <w:p w14:paraId="7D6BFE38">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0"/>
                <w:sz w:val="21"/>
                <w:szCs w:val="21"/>
              </w:rPr>
              <w:t>3</w:t>
            </w:r>
          </w:p>
        </w:tc>
      </w:tr>
      <w:tr w14:paraId="0F888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53" w:type="pct"/>
            <w:vAlign w:val="center"/>
          </w:tcPr>
          <w:p w14:paraId="5BADD815">
            <w:pPr>
              <w:keepNext w:val="0"/>
              <w:keepLines w:val="0"/>
              <w:widowControl/>
              <w:suppressLineNumbers w:val="0"/>
              <w:spacing w:before="0" w:beforeAutospacing="0" w:after="0" w:afterAutospacing="0"/>
              <w:ind w:left="0" w:right="0"/>
              <w:jc w:val="left"/>
              <w:rPr>
                <w:rFonts w:hint="eastAsia" w:ascii="仿宋" w:hAnsi="仿宋" w:eastAsia="仿宋" w:cs="仿宋"/>
                <w:kern w:val="0"/>
                <w:sz w:val="21"/>
                <w:szCs w:val="21"/>
              </w:rPr>
            </w:pPr>
            <w:r>
              <w:rPr>
                <w:rFonts w:hint="eastAsia" w:ascii="仿宋" w:hAnsi="仿宋" w:eastAsia="仿宋" w:cs="仿宋"/>
                <w:kern w:val="0"/>
                <w:sz w:val="21"/>
                <w:szCs w:val="21"/>
              </w:rPr>
              <w:t>中国近现代史纲要</w:t>
            </w:r>
          </w:p>
          <w:p w14:paraId="6ACD0900">
            <w:pPr>
              <w:keepNext w:val="0"/>
              <w:keepLines w:val="0"/>
              <w:widowControl/>
              <w:suppressLineNumbers w:val="0"/>
              <w:spacing w:before="0" w:beforeAutospacing="0" w:after="0" w:afterAutospacing="0"/>
              <w:ind w:left="0" w:leftChars="0" w:right="0" w:rightChars="0"/>
              <w:jc w:val="left"/>
              <w:rPr>
                <w:rFonts w:hint="eastAsia" w:ascii="仿宋" w:hAnsi="仿宋" w:eastAsia="仿宋" w:cs="仿宋"/>
                <w:sz w:val="21"/>
                <w:szCs w:val="21"/>
                <w:vertAlign w:val="baseline"/>
              </w:rPr>
            </w:pPr>
            <w:r>
              <w:rPr>
                <w:rFonts w:hint="eastAsia" w:ascii="仿宋" w:hAnsi="仿宋" w:eastAsia="仿宋" w:cs="仿宋"/>
                <w:color w:val="000000"/>
                <w:kern w:val="0"/>
                <w:sz w:val="21"/>
                <w:szCs w:val="21"/>
                <w:lang w:bidi="ar"/>
              </w:rPr>
              <w:t>Outline of Chinese Current and Modern</w:t>
            </w:r>
            <w:r>
              <w:rPr>
                <w:rFonts w:hint="eastAsia" w:ascii="仿宋" w:hAnsi="仿宋" w:eastAsia="仿宋" w:cs="仿宋"/>
                <w:color w:val="000000"/>
                <w:kern w:val="0"/>
                <w:sz w:val="21"/>
                <w:szCs w:val="21"/>
                <w:lang w:val="en-US" w:eastAsia="zh-CN" w:bidi="ar"/>
              </w:rPr>
              <w:t xml:space="preserve"> </w:t>
            </w:r>
            <w:r>
              <w:rPr>
                <w:rFonts w:hint="eastAsia" w:ascii="仿宋" w:hAnsi="仿宋" w:eastAsia="仿宋" w:cs="仿宋"/>
                <w:color w:val="000000"/>
                <w:kern w:val="0"/>
                <w:sz w:val="21"/>
                <w:szCs w:val="21"/>
                <w:lang w:bidi="ar"/>
              </w:rPr>
              <w:t>History</w:t>
            </w:r>
          </w:p>
        </w:tc>
        <w:tc>
          <w:tcPr>
            <w:tcW w:w="414" w:type="pct"/>
            <w:vAlign w:val="center"/>
          </w:tcPr>
          <w:p w14:paraId="5189BA63">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必修</w:t>
            </w:r>
          </w:p>
        </w:tc>
        <w:tc>
          <w:tcPr>
            <w:tcW w:w="448" w:type="pct"/>
            <w:vAlign w:val="center"/>
          </w:tcPr>
          <w:p w14:paraId="6EFA2936">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sz w:val="21"/>
                <w:szCs w:val="21"/>
                <w:vertAlign w:val="baseline"/>
              </w:rPr>
            </w:pPr>
            <w:r>
              <w:rPr>
                <w:rFonts w:hint="eastAsia" w:ascii="仿宋" w:hAnsi="仿宋" w:eastAsia="仿宋" w:cs="仿宋"/>
                <w:sz w:val="21"/>
                <w:szCs w:val="21"/>
                <w:vertAlign w:val="baseline"/>
                <w:lang w:val="en-US" w:eastAsia="zh-CN"/>
              </w:rPr>
              <w:t>2.5</w:t>
            </w:r>
          </w:p>
        </w:tc>
        <w:tc>
          <w:tcPr>
            <w:tcW w:w="444" w:type="pct"/>
            <w:vAlign w:val="center"/>
          </w:tcPr>
          <w:p w14:paraId="133186BD">
            <w:pPr>
              <w:spacing w:line="360" w:lineRule="auto"/>
              <w:jc w:val="center"/>
              <w:rPr>
                <w:rFonts w:hint="eastAsia" w:ascii="仿宋" w:hAnsi="仿宋" w:eastAsia="仿宋" w:cs="仿宋"/>
                <w:sz w:val="21"/>
                <w:szCs w:val="21"/>
                <w:vertAlign w:val="baseline"/>
              </w:rPr>
            </w:pPr>
            <w:r>
              <w:rPr>
                <w:rFonts w:hint="eastAsia" w:ascii="仿宋" w:hAnsi="仿宋" w:eastAsia="仿宋" w:cs="仿宋"/>
                <w:sz w:val="21"/>
                <w:szCs w:val="21"/>
                <w:vertAlign w:val="baseline"/>
                <w:lang w:val="en-US" w:eastAsia="zh-CN"/>
              </w:rPr>
              <w:t>0.5</w:t>
            </w:r>
          </w:p>
        </w:tc>
        <w:tc>
          <w:tcPr>
            <w:tcW w:w="539" w:type="pct"/>
            <w:vAlign w:val="center"/>
          </w:tcPr>
          <w:p w14:paraId="1068F48A">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0"/>
                <w:sz w:val="21"/>
                <w:szCs w:val="21"/>
              </w:rPr>
              <w:t>3</w:t>
            </w:r>
          </w:p>
        </w:tc>
      </w:tr>
      <w:tr w14:paraId="09CC9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53" w:type="pct"/>
            <w:vAlign w:val="center"/>
          </w:tcPr>
          <w:p w14:paraId="19796EFF">
            <w:pPr>
              <w:keepNext w:val="0"/>
              <w:keepLines w:val="0"/>
              <w:widowControl/>
              <w:suppressLineNumbers w:val="0"/>
              <w:spacing w:before="0" w:beforeAutospacing="0" w:after="0" w:afterAutospacing="0"/>
              <w:ind w:left="0" w:right="0"/>
              <w:jc w:val="left"/>
              <w:rPr>
                <w:rFonts w:hint="eastAsia" w:ascii="仿宋" w:hAnsi="仿宋" w:eastAsia="仿宋" w:cs="仿宋"/>
                <w:kern w:val="0"/>
                <w:sz w:val="21"/>
                <w:szCs w:val="21"/>
              </w:rPr>
            </w:pPr>
            <w:r>
              <w:rPr>
                <w:rFonts w:hint="eastAsia" w:ascii="仿宋" w:hAnsi="仿宋" w:eastAsia="仿宋" w:cs="仿宋"/>
                <w:kern w:val="0"/>
                <w:sz w:val="21"/>
                <w:szCs w:val="21"/>
              </w:rPr>
              <w:t>马克思主义基本原理</w:t>
            </w:r>
          </w:p>
          <w:p w14:paraId="4B45C621">
            <w:pPr>
              <w:keepNext w:val="0"/>
              <w:keepLines w:val="0"/>
              <w:widowControl/>
              <w:suppressLineNumbers w:val="0"/>
              <w:spacing w:before="0" w:beforeAutospacing="0" w:after="0" w:afterAutospacing="0"/>
              <w:ind w:left="0" w:leftChars="0" w:right="0" w:rightChars="0"/>
              <w:jc w:val="left"/>
              <w:rPr>
                <w:rFonts w:hint="eastAsia" w:ascii="仿宋" w:hAnsi="仿宋" w:eastAsia="仿宋" w:cs="仿宋"/>
                <w:sz w:val="21"/>
                <w:szCs w:val="21"/>
                <w:vertAlign w:val="baseline"/>
              </w:rPr>
            </w:pPr>
            <w:r>
              <w:rPr>
                <w:rFonts w:hint="eastAsia" w:ascii="仿宋" w:hAnsi="仿宋" w:eastAsia="仿宋" w:cs="仿宋"/>
                <w:color w:val="000000"/>
                <w:kern w:val="0"/>
                <w:sz w:val="21"/>
                <w:szCs w:val="21"/>
                <w:lang w:bidi="ar"/>
              </w:rPr>
              <w:t xml:space="preserve">Basic Theory of Marxism </w:t>
            </w:r>
          </w:p>
        </w:tc>
        <w:tc>
          <w:tcPr>
            <w:tcW w:w="414" w:type="pct"/>
            <w:vAlign w:val="center"/>
          </w:tcPr>
          <w:p w14:paraId="42150AB4">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必修</w:t>
            </w:r>
          </w:p>
        </w:tc>
        <w:tc>
          <w:tcPr>
            <w:tcW w:w="448" w:type="pct"/>
            <w:vAlign w:val="center"/>
          </w:tcPr>
          <w:p w14:paraId="6E1EF192">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sz w:val="21"/>
                <w:szCs w:val="21"/>
                <w:vertAlign w:val="baseline"/>
              </w:rPr>
            </w:pPr>
            <w:r>
              <w:rPr>
                <w:rFonts w:hint="eastAsia" w:ascii="仿宋" w:hAnsi="仿宋" w:eastAsia="仿宋" w:cs="仿宋"/>
                <w:sz w:val="21"/>
                <w:szCs w:val="21"/>
                <w:vertAlign w:val="baseline"/>
                <w:lang w:val="en-US" w:eastAsia="zh-CN"/>
              </w:rPr>
              <w:t>2.5</w:t>
            </w:r>
          </w:p>
        </w:tc>
        <w:tc>
          <w:tcPr>
            <w:tcW w:w="444" w:type="pct"/>
            <w:vAlign w:val="center"/>
          </w:tcPr>
          <w:p w14:paraId="76057CFD">
            <w:pPr>
              <w:spacing w:line="360" w:lineRule="auto"/>
              <w:jc w:val="center"/>
              <w:rPr>
                <w:rFonts w:hint="eastAsia" w:ascii="仿宋" w:hAnsi="仿宋" w:eastAsia="仿宋" w:cs="仿宋"/>
                <w:sz w:val="21"/>
                <w:szCs w:val="21"/>
                <w:vertAlign w:val="baseline"/>
              </w:rPr>
            </w:pPr>
            <w:r>
              <w:rPr>
                <w:rFonts w:hint="eastAsia" w:ascii="仿宋" w:hAnsi="仿宋" w:eastAsia="仿宋" w:cs="仿宋"/>
                <w:sz w:val="21"/>
                <w:szCs w:val="21"/>
                <w:vertAlign w:val="baseline"/>
                <w:lang w:val="en-US" w:eastAsia="zh-CN"/>
              </w:rPr>
              <w:t>0.5</w:t>
            </w:r>
          </w:p>
        </w:tc>
        <w:tc>
          <w:tcPr>
            <w:tcW w:w="539" w:type="pct"/>
            <w:vAlign w:val="center"/>
          </w:tcPr>
          <w:p w14:paraId="7DDB172A">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0"/>
                <w:sz w:val="21"/>
                <w:szCs w:val="21"/>
              </w:rPr>
              <w:t>3</w:t>
            </w:r>
          </w:p>
        </w:tc>
      </w:tr>
      <w:tr w14:paraId="0998B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53" w:type="pct"/>
            <w:vAlign w:val="center"/>
          </w:tcPr>
          <w:p w14:paraId="4F537819">
            <w:pPr>
              <w:keepNext w:val="0"/>
              <w:keepLines w:val="0"/>
              <w:widowControl/>
              <w:suppressLineNumbers w:val="0"/>
              <w:spacing w:before="0" w:beforeAutospacing="0" w:after="0" w:afterAutospacing="0"/>
              <w:ind w:left="0" w:right="0"/>
              <w:jc w:val="left"/>
              <w:rPr>
                <w:rFonts w:hint="eastAsia" w:ascii="仿宋" w:hAnsi="仿宋" w:eastAsia="仿宋" w:cs="仿宋"/>
                <w:kern w:val="0"/>
                <w:sz w:val="21"/>
                <w:szCs w:val="21"/>
              </w:rPr>
            </w:pPr>
            <w:r>
              <w:rPr>
                <w:rFonts w:hint="eastAsia" w:ascii="仿宋" w:hAnsi="仿宋" w:eastAsia="仿宋" w:cs="仿宋"/>
                <w:kern w:val="0"/>
                <w:sz w:val="21"/>
                <w:szCs w:val="21"/>
              </w:rPr>
              <w:t>毛泽东思想和中国特色社会主义理论体系概论</w:t>
            </w:r>
          </w:p>
          <w:p w14:paraId="2803F3A9">
            <w:pPr>
              <w:keepNext w:val="0"/>
              <w:keepLines w:val="0"/>
              <w:widowControl/>
              <w:suppressLineNumbers w:val="0"/>
              <w:spacing w:before="0" w:beforeAutospacing="0" w:after="0" w:afterAutospacing="0"/>
              <w:ind w:left="0" w:leftChars="0" w:right="0" w:rightChars="0"/>
              <w:jc w:val="left"/>
              <w:rPr>
                <w:rFonts w:hint="eastAsia" w:ascii="仿宋" w:hAnsi="仿宋" w:eastAsia="仿宋" w:cs="仿宋"/>
                <w:sz w:val="21"/>
                <w:szCs w:val="21"/>
                <w:vertAlign w:val="baseline"/>
              </w:rPr>
            </w:pPr>
            <w:r>
              <w:rPr>
                <w:rFonts w:hint="eastAsia" w:ascii="仿宋" w:hAnsi="仿宋" w:eastAsia="仿宋" w:cs="仿宋"/>
                <w:color w:val="000000"/>
                <w:kern w:val="0"/>
                <w:sz w:val="21"/>
                <w:szCs w:val="21"/>
                <w:lang w:bidi="ar"/>
              </w:rPr>
              <w:t xml:space="preserve">Maoism and Socialism with Chinese Characteristics Theories </w:t>
            </w:r>
          </w:p>
        </w:tc>
        <w:tc>
          <w:tcPr>
            <w:tcW w:w="414" w:type="pct"/>
            <w:vAlign w:val="center"/>
          </w:tcPr>
          <w:p w14:paraId="11D45383">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必修</w:t>
            </w:r>
          </w:p>
        </w:tc>
        <w:tc>
          <w:tcPr>
            <w:tcW w:w="448" w:type="pct"/>
            <w:vAlign w:val="center"/>
          </w:tcPr>
          <w:p w14:paraId="703A971D">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sz w:val="21"/>
                <w:szCs w:val="21"/>
                <w:vertAlign w:val="baseline"/>
              </w:rPr>
            </w:pPr>
            <w:r>
              <w:rPr>
                <w:rFonts w:hint="eastAsia" w:ascii="仿宋" w:hAnsi="仿宋" w:eastAsia="仿宋" w:cs="仿宋"/>
                <w:sz w:val="21"/>
                <w:szCs w:val="21"/>
                <w:vertAlign w:val="baseline"/>
                <w:lang w:val="en-US" w:eastAsia="zh-CN"/>
              </w:rPr>
              <w:t>2.5</w:t>
            </w:r>
          </w:p>
        </w:tc>
        <w:tc>
          <w:tcPr>
            <w:tcW w:w="444" w:type="pct"/>
            <w:vAlign w:val="center"/>
          </w:tcPr>
          <w:p w14:paraId="5C0F61BD">
            <w:pPr>
              <w:spacing w:line="360" w:lineRule="auto"/>
              <w:jc w:val="center"/>
              <w:rPr>
                <w:rFonts w:hint="eastAsia" w:ascii="仿宋" w:hAnsi="仿宋" w:eastAsia="仿宋" w:cs="仿宋"/>
                <w:sz w:val="21"/>
                <w:szCs w:val="21"/>
                <w:vertAlign w:val="baseline"/>
              </w:rPr>
            </w:pPr>
            <w:r>
              <w:rPr>
                <w:rFonts w:hint="eastAsia" w:ascii="仿宋" w:hAnsi="仿宋" w:eastAsia="仿宋" w:cs="仿宋"/>
                <w:sz w:val="21"/>
                <w:szCs w:val="21"/>
                <w:vertAlign w:val="baseline"/>
                <w:lang w:val="en-US" w:eastAsia="zh-CN"/>
              </w:rPr>
              <w:t>0.5</w:t>
            </w:r>
          </w:p>
        </w:tc>
        <w:tc>
          <w:tcPr>
            <w:tcW w:w="539" w:type="pct"/>
            <w:vAlign w:val="center"/>
          </w:tcPr>
          <w:p w14:paraId="6F3FB5E6">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0"/>
                <w:sz w:val="21"/>
                <w:szCs w:val="21"/>
              </w:rPr>
              <w:t>3</w:t>
            </w:r>
          </w:p>
        </w:tc>
      </w:tr>
      <w:tr w14:paraId="4FDD0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53" w:type="pct"/>
            <w:vAlign w:val="center"/>
          </w:tcPr>
          <w:p w14:paraId="49059C1D">
            <w:pPr>
              <w:pStyle w:val="3"/>
              <w:keepNext w:val="0"/>
              <w:keepLines w:val="0"/>
              <w:widowControl/>
              <w:suppressLineNumbers w:val="0"/>
              <w:spacing w:before="0" w:beforeAutospacing="0" w:after="0" w:afterAutospacing="0"/>
              <w:ind w:left="0" w:right="0"/>
              <w:jc w:val="left"/>
              <w:rPr>
                <w:rFonts w:hint="eastAsia" w:ascii="仿宋" w:hAnsi="仿宋" w:eastAsia="仿宋" w:cs="仿宋"/>
                <w:b w:val="0"/>
                <w:bCs w:val="0"/>
                <w:color w:val="auto"/>
                <w:kern w:val="0"/>
                <w:sz w:val="21"/>
                <w:szCs w:val="21"/>
              </w:rPr>
            </w:pPr>
            <w:r>
              <w:rPr>
                <w:rFonts w:hint="eastAsia" w:ascii="仿宋" w:hAnsi="仿宋" w:eastAsia="仿宋" w:cs="仿宋"/>
                <w:b w:val="0"/>
                <w:bCs w:val="0"/>
                <w:color w:val="auto"/>
                <w:kern w:val="0"/>
                <w:sz w:val="21"/>
                <w:szCs w:val="21"/>
              </w:rPr>
              <w:t>习近平新时代中国特色社会主义思想概论</w:t>
            </w:r>
          </w:p>
          <w:p w14:paraId="4B30A8E7">
            <w:pPr>
              <w:keepNext w:val="0"/>
              <w:keepLines w:val="0"/>
              <w:widowControl/>
              <w:suppressLineNumbers w:val="0"/>
              <w:spacing w:before="0" w:beforeAutospacing="0" w:after="0" w:afterAutospacing="0"/>
              <w:ind w:left="0" w:leftChars="0" w:right="0" w:rightChars="0"/>
              <w:jc w:val="left"/>
              <w:rPr>
                <w:rFonts w:hint="eastAsia" w:ascii="仿宋" w:hAnsi="仿宋" w:eastAsia="仿宋" w:cs="仿宋"/>
                <w:sz w:val="21"/>
                <w:szCs w:val="21"/>
                <w:vertAlign w:val="baseline"/>
              </w:rPr>
            </w:pPr>
            <w:r>
              <w:rPr>
                <w:rFonts w:hint="eastAsia" w:ascii="仿宋" w:hAnsi="仿宋" w:eastAsia="仿宋" w:cs="仿宋"/>
                <w:color w:val="000000"/>
                <w:kern w:val="0"/>
                <w:sz w:val="21"/>
                <w:szCs w:val="21"/>
                <w:lang w:bidi="ar"/>
              </w:rPr>
              <w:t>An Introduction to XiJinping Thought on Socialism with Chinese Characteristics for a New Era</w:t>
            </w:r>
          </w:p>
        </w:tc>
        <w:tc>
          <w:tcPr>
            <w:tcW w:w="414" w:type="pct"/>
            <w:vAlign w:val="center"/>
          </w:tcPr>
          <w:p w14:paraId="331BC7C9">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必修</w:t>
            </w:r>
          </w:p>
        </w:tc>
        <w:tc>
          <w:tcPr>
            <w:tcW w:w="448" w:type="pct"/>
            <w:vAlign w:val="center"/>
          </w:tcPr>
          <w:p w14:paraId="3A855932">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sz w:val="21"/>
                <w:szCs w:val="21"/>
                <w:vertAlign w:val="baseline"/>
              </w:rPr>
            </w:pPr>
            <w:r>
              <w:rPr>
                <w:rFonts w:hint="eastAsia" w:ascii="仿宋" w:hAnsi="仿宋" w:eastAsia="仿宋" w:cs="仿宋"/>
                <w:sz w:val="21"/>
                <w:szCs w:val="21"/>
                <w:vertAlign w:val="baseline"/>
                <w:lang w:val="en-US" w:eastAsia="zh-CN"/>
              </w:rPr>
              <w:t>2.5</w:t>
            </w:r>
          </w:p>
        </w:tc>
        <w:tc>
          <w:tcPr>
            <w:tcW w:w="444" w:type="pct"/>
            <w:vAlign w:val="center"/>
          </w:tcPr>
          <w:p w14:paraId="229008AD">
            <w:pPr>
              <w:spacing w:line="360" w:lineRule="auto"/>
              <w:jc w:val="center"/>
              <w:rPr>
                <w:rFonts w:hint="eastAsia" w:ascii="仿宋" w:hAnsi="仿宋" w:eastAsia="仿宋" w:cs="仿宋"/>
                <w:sz w:val="21"/>
                <w:szCs w:val="21"/>
                <w:vertAlign w:val="baseline"/>
              </w:rPr>
            </w:pPr>
            <w:r>
              <w:rPr>
                <w:rFonts w:hint="eastAsia" w:ascii="仿宋" w:hAnsi="仿宋" w:eastAsia="仿宋" w:cs="仿宋"/>
                <w:sz w:val="21"/>
                <w:szCs w:val="21"/>
                <w:vertAlign w:val="baseline"/>
                <w:lang w:val="en-US" w:eastAsia="zh-CN"/>
              </w:rPr>
              <w:t>0.5</w:t>
            </w:r>
          </w:p>
        </w:tc>
        <w:tc>
          <w:tcPr>
            <w:tcW w:w="539" w:type="pct"/>
            <w:vAlign w:val="center"/>
          </w:tcPr>
          <w:p w14:paraId="3030AEE5">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0"/>
                <w:sz w:val="21"/>
                <w:szCs w:val="21"/>
              </w:rPr>
              <w:t>3</w:t>
            </w:r>
          </w:p>
        </w:tc>
      </w:tr>
      <w:tr w14:paraId="54080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53" w:type="pct"/>
            <w:vAlign w:val="center"/>
          </w:tcPr>
          <w:p w14:paraId="099FFBB2">
            <w:pPr>
              <w:keepNext w:val="0"/>
              <w:keepLines w:val="0"/>
              <w:widowControl/>
              <w:suppressLineNumbers w:val="0"/>
              <w:spacing w:before="0" w:beforeAutospacing="0" w:after="0" w:afterAutospacing="0"/>
              <w:ind w:left="0" w:right="0"/>
              <w:jc w:val="left"/>
              <w:rPr>
                <w:rFonts w:hint="eastAsia" w:ascii="仿宋" w:hAnsi="仿宋" w:eastAsia="仿宋" w:cs="仿宋"/>
                <w:color w:val="000000"/>
                <w:kern w:val="0"/>
                <w:sz w:val="21"/>
                <w:szCs w:val="21"/>
                <w:lang w:bidi="ar"/>
              </w:rPr>
            </w:pPr>
            <w:r>
              <w:rPr>
                <w:rFonts w:hint="eastAsia" w:ascii="仿宋" w:hAnsi="仿宋" w:eastAsia="仿宋" w:cs="仿宋"/>
                <w:color w:val="000000"/>
                <w:kern w:val="0"/>
                <w:sz w:val="21"/>
                <w:szCs w:val="21"/>
                <w:lang w:bidi="ar"/>
              </w:rPr>
              <w:t>形势与政策1-8</w:t>
            </w:r>
          </w:p>
          <w:p w14:paraId="5026DB9E">
            <w:pPr>
              <w:keepNext w:val="0"/>
              <w:keepLines w:val="0"/>
              <w:widowControl/>
              <w:suppressLineNumbers w:val="0"/>
              <w:spacing w:before="0" w:beforeAutospacing="0" w:after="0" w:afterAutospacing="0"/>
              <w:ind w:left="0" w:leftChars="0" w:right="0" w:rightChars="0"/>
              <w:jc w:val="left"/>
              <w:rPr>
                <w:rFonts w:hint="eastAsia" w:ascii="仿宋" w:hAnsi="仿宋" w:eastAsia="仿宋" w:cs="仿宋"/>
                <w:sz w:val="21"/>
                <w:szCs w:val="21"/>
                <w:vertAlign w:val="baseline"/>
              </w:rPr>
            </w:pPr>
            <w:r>
              <w:rPr>
                <w:rFonts w:hint="eastAsia" w:ascii="仿宋" w:hAnsi="仿宋" w:eastAsia="仿宋" w:cs="仿宋"/>
                <w:color w:val="000000"/>
                <w:kern w:val="0"/>
                <w:sz w:val="21"/>
                <w:szCs w:val="21"/>
                <w:lang w:bidi="ar"/>
              </w:rPr>
              <w:t>Current Situation and</w:t>
            </w:r>
            <w:r>
              <w:rPr>
                <w:rFonts w:hint="eastAsia" w:ascii="仿宋" w:hAnsi="仿宋" w:eastAsia="仿宋" w:cs="仿宋"/>
                <w:color w:val="000000"/>
                <w:kern w:val="0"/>
                <w:sz w:val="21"/>
                <w:szCs w:val="21"/>
                <w:lang w:val="en-US" w:eastAsia="zh-CN" w:bidi="ar"/>
              </w:rPr>
              <w:t xml:space="preserve"> </w:t>
            </w:r>
            <w:r>
              <w:rPr>
                <w:rFonts w:hint="eastAsia" w:ascii="仿宋" w:hAnsi="仿宋" w:eastAsia="仿宋" w:cs="仿宋"/>
                <w:color w:val="000000"/>
                <w:kern w:val="0"/>
                <w:sz w:val="21"/>
                <w:szCs w:val="21"/>
                <w:lang w:bidi="ar"/>
              </w:rPr>
              <w:t>Policy（1-8）</w:t>
            </w:r>
          </w:p>
        </w:tc>
        <w:tc>
          <w:tcPr>
            <w:tcW w:w="414" w:type="pct"/>
            <w:vAlign w:val="center"/>
          </w:tcPr>
          <w:p w14:paraId="2DACA4F9">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必修</w:t>
            </w:r>
          </w:p>
        </w:tc>
        <w:tc>
          <w:tcPr>
            <w:tcW w:w="448" w:type="pct"/>
            <w:vAlign w:val="center"/>
          </w:tcPr>
          <w:p w14:paraId="7E458FD5">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1.5</w:t>
            </w:r>
          </w:p>
        </w:tc>
        <w:tc>
          <w:tcPr>
            <w:tcW w:w="444" w:type="pct"/>
            <w:vAlign w:val="center"/>
          </w:tcPr>
          <w:p w14:paraId="74F8E21A">
            <w:pPr>
              <w:spacing w:line="360" w:lineRule="auto"/>
              <w:jc w:val="center"/>
              <w:rPr>
                <w:rFonts w:hint="eastAsia" w:ascii="仿宋" w:hAnsi="仿宋" w:eastAsia="仿宋" w:cs="仿宋"/>
                <w:sz w:val="21"/>
                <w:szCs w:val="21"/>
                <w:vertAlign w:val="baseline"/>
              </w:rPr>
            </w:pPr>
            <w:r>
              <w:rPr>
                <w:rFonts w:hint="eastAsia" w:ascii="仿宋" w:hAnsi="仿宋" w:eastAsia="仿宋" w:cs="仿宋"/>
                <w:sz w:val="21"/>
                <w:szCs w:val="21"/>
                <w:vertAlign w:val="baseline"/>
                <w:lang w:val="en-US" w:eastAsia="zh-CN"/>
              </w:rPr>
              <w:t>0.5</w:t>
            </w:r>
          </w:p>
        </w:tc>
        <w:tc>
          <w:tcPr>
            <w:tcW w:w="539" w:type="pct"/>
            <w:vAlign w:val="center"/>
          </w:tcPr>
          <w:p w14:paraId="4F1C6314">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0"/>
                <w:sz w:val="21"/>
                <w:szCs w:val="21"/>
              </w:rPr>
              <w:t>2</w:t>
            </w:r>
          </w:p>
        </w:tc>
      </w:tr>
      <w:tr w14:paraId="463CA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53" w:type="pct"/>
            <w:vAlign w:val="center"/>
          </w:tcPr>
          <w:p w14:paraId="6046189A">
            <w:pPr>
              <w:keepNext w:val="0"/>
              <w:keepLines w:val="0"/>
              <w:widowControl/>
              <w:suppressLineNumbers w:val="0"/>
              <w:spacing w:before="0" w:beforeAutospacing="0" w:after="0" w:afterAutospacing="0"/>
              <w:ind w:left="0" w:right="0"/>
              <w:jc w:val="left"/>
              <w:rPr>
                <w:rFonts w:hint="eastAsia" w:ascii="仿宋" w:hAnsi="仿宋" w:eastAsia="仿宋" w:cs="仿宋"/>
                <w:color w:val="000000"/>
                <w:kern w:val="0"/>
                <w:sz w:val="21"/>
                <w:szCs w:val="21"/>
                <w:lang w:bidi="ar"/>
              </w:rPr>
            </w:pPr>
            <w:r>
              <w:rPr>
                <w:rFonts w:hint="eastAsia" w:ascii="仿宋" w:hAnsi="仿宋" w:eastAsia="仿宋" w:cs="仿宋"/>
                <w:color w:val="000000"/>
                <w:kern w:val="0"/>
                <w:sz w:val="21"/>
                <w:szCs w:val="21"/>
                <w:lang w:bidi="ar"/>
              </w:rPr>
              <w:t>党史</w:t>
            </w:r>
          </w:p>
          <w:p w14:paraId="7409512D">
            <w:pPr>
              <w:keepNext w:val="0"/>
              <w:keepLines w:val="0"/>
              <w:widowControl/>
              <w:suppressLineNumbers w:val="0"/>
              <w:spacing w:before="0" w:beforeAutospacing="0" w:after="0" w:afterAutospacing="0"/>
              <w:ind w:left="0" w:leftChars="0" w:right="0" w:rightChars="0"/>
              <w:jc w:val="left"/>
              <w:rPr>
                <w:rFonts w:hint="eastAsia" w:ascii="仿宋" w:hAnsi="仿宋" w:eastAsia="仿宋" w:cs="仿宋"/>
                <w:sz w:val="21"/>
                <w:szCs w:val="21"/>
                <w:vertAlign w:val="baseline"/>
              </w:rPr>
            </w:pPr>
            <w:r>
              <w:rPr>
                <w:rFonts w:hint="eastAsia" w:ascii="仿宋" w:hAnsi="仿宋" w:eastAsia="仿宋" w:cs="仿宋"/>
                <w:kern w:val="0"/>
                <w:sz w:val="21"/>
                <w:szCs w:val="21"/>
                <w:lang w:bidi="ar"/>
              </w:rPr>
              <w:t xml:space="preserve">Histories of the Party, , , </w:t>
            </w:r>
          </w:p>
        </w:tc>
        <w:tc>
          <w:tcPr>
            <w:tcW w:w="414" w:type="pct"/>
            <w:vAlign w:val="center"/>
          </w:tcPr>
          <w:p w14:paraId="1285DEEB">
            <w:pPr>
              <w:spacing w:line="360" w:lineRule="auto"/>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限选</w:t>
            </w:r>
          </w:p>
        </w:tc>
        <w:tc>
          <w:tcPr>
            <w:tcW w:w="448" w:type="pct"/>
            <w:vAlign w:val="center"/>
          </w:tcPr>
          <w:p w14:paraId="07397606">
            <w:pPr>
              <w:spacing w:line="360" w:lineRule="auto"/>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1</w:t>
            </w:r>
          </w:p>
        </w:tc>
        <w:tc>
          <w:tcPr>
            <w:tcW w:w="444" w:type="pct"/>
            <w:vAlign w:val="center"/>
          </w:tcPr>
          <w:p w14:paraId="5BDE7BB9">
            <w:pPr>
              <w:spacing w:line="360" w:lineRule="auto"/>
              <w:jc w:val="center"/>
              <w:rPr>
                <w:rFonts w:hint="eastAsia" w:ascii="仿宋" w:hAnsi="仿宋" w:eastAsia="仿宋" w:cs="仿宋"/>
                <w:sz w:val="21"/>
                <w:szCs w:val="21"/>
                <w:vertAlign w:val="baseline"/>
              </w:rPr>
            </w:pPr>
          </w:p>
        </w:tc>
        <w:tc>
          <w:tcPr>
            <w:tcW w:w="539" w:type="pct"/>
            <w:vAlign w:val="center"/>
          </w:tcPr>
          <w:p w14:paraId="77666FD3">
            <w:pPr>
              <w:spacing w:line="360" w:lineRule="auto"/>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1</w:t>
            </w:r>
          </w:p>
        </w:tc>
      </w:tr>
      <w:tr w14:paraId="35932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53" w:type="pct"/>
            <w:vAlign w:val="center"/>
          </w:tcPr>
          <w:p w14:paraId="2B1A2361">
            <w:pPr>
              <w:keepNext w:val="0"/>
              <w:keepLines w:val="0"/>
              <w:widowControl/>
              <w:suppressLineNumbers w:val="0"/>
              <w:spacing w:before="0" w:beforeAutospacing="0" w:after="0" w:afterAutospacing="0"/>
              <w:ind w:left="0" w:leftChars="0" w:right="0" w:rightChars="0"/>
              <w:jc w:val="left"/>
              <w:rPr>
                <w:rFonts w:hint="eastAsia" w:ascii="仿宋" w:hAnsi="仿宋" w:eastAsia="仿宋" w:cs="仿宋"/>
                <w:color w:val="000000"/>
                <w:kern w:val="0"/>
                <w:sz w:val="21"/>
                <w:szCs w:val="21"/>
                <w:lang w:bidi="ar"/>
              </w:rPr>
            </w:pPr>
            <w:r>
              <w:rPr>
                <w:rFonts w:hint="eastAsia" w:ascii="仿宋" w:hAnsi="仿宋" w:eastAsia="仿宋" w:cs="仿宋"/>
                <w:color w:val="000000"/>
                <w:kern w:val="0"/>
                <w:sz w:val="21"/>
                <w:szCs w:val="21"/>
                <w:lang w:bidi="ar"/>
              </w:rPr>
              <w:t>新中国史</w:t>
            </w:r>
          </w:p>
          <w:p w14:paraId="4233CC49">
            <w:pPr>
              <w:keepNext w:val="0"/>
              <w:keepLines w:val="0"/>
              <w:widowControl/>
              <w:suppressLineNumbers w:val="0"/>
              <w:spacing w:before="0" w:beforeAutospacing="0" w:after="0" w:afterAutospacing="0"/>
              <w:ind w:left="0" w:leftChars="0" w:right="0" w:rightChars="0"/>
              <w:jc w:val="left"/>
              <w:rPr>
                <w:rFonts w:hint="eastAsia" w:ascii="仿宋" w:hAnsi="仿宋" w:eastAsia="仿宋" w:cs="仿宋"/>
                <w:color w:val="000000"/>
                <w:kern w:val="0"/>
                <w:sz w:val="21"/>
                <w:szCs w:val="21"/>
                <w:lang w:bidi="ar"/>
              </w:rPr>
            </w:pPr>
            <w:r>
              <w:rPr>
                <w:rFonts w:hint="eastAsia" w:ascii="仿宋" w:hAnsi="仿宋" w:eastAsia="仿宋" w:cs="仿宋"/>
                <w:kern w:val="0"/>
                <w:sz w:val="21"/>
                <w:szCs w:val="21"/>
                <w:lang w:bidi="ar"/>
              </w:rPr>
              <w:t>New China</w:t>
            </w:r>
          </w:p>
        </w:tc>
        <w:tc>
          <w:tcPr>
            <w:tcW w:w="414" w:type="pct"/>
            <w:vMerge w:val="restart"/>
            <w:vAlign w:val="center"/>
          </w:tcPr>
          <w:p w14:paraId="19AD04BD">
            <w:pPr>
              <w:spacing w:line="360" w:lineRule="auto"/>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限选</w:t>
            </w:r>
          </w:p>
        </w:tc>
        <w:tc>
          <w:tcPr>
            <w:tcW w:w="448" w:type="pct"/>
            <w:vAlign w:val="center"/>
          </w:tcPr>
          <w:p w14:paraId="4A4B2B42">
            <w:pPr>
              <w:spacing w:line="360" w:lineRule="auto"/>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1</w:t>
            </w:r>
          </w:p>
        </w:tc>
        <w:tc>
          <w:tcPr>
            <w:tcW w:w="444" w:type="pct"/>
            <w:vAlign w:val="center"/>
          </w:tcPr>
          <w:p w14:paraId="7E97150D">
            <w:pPr>
              <w:spacing w:line="360" w:lineRule="auto"/>
              <w:jc w:val="center"/>
              <w:rPr>
                <w:rFonts w:hint="eastAsia" w:ascii="仿宋" w:hAnsi="仿宋" w:eastAsia="仿宋" w:cs="仿宋"/>
                <w:sz w:val="21"/>
                <w:szCs w:val="21"/>
                <w:vertAlign w:val="baseline"/>
              </w:rPr>
            </w:pPr>
          </w:p>
        </w:tc>
        <w:tc>
          <w:tcPr>
            <w:tcW w:w="539" w:type="pct"/>
            <w:vAlign w:val="center"/>
          </w:tcPr>
          <w:p w14:paraId="500117F8">
            <w:pPr>
              <w:spacing w:line="360" w:lineRule="auto"/>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1</w:t>
            </w:r>
          </w:p>
        </w:tc>
      </w:tr>
      <w:tr w14:paraId="17F42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53" w:type="pct"/>
            <w:vAlign w:val="center"/>
          </w:tcPr>
          <w:p w14:paraId="19E20846">
            <w:pPr>
              <w:keepNext w:val="0"/>
              <w:keepLines w:val="0"/>
              <w:widowControl/>
              <w:suppressLineNumbers w:val="0"/>
              <w:spacing w:before="0" w:beforeAutospacing="0" w:after="0" w:afterAutospacing="0"/>
              <w:ind w:left="0" w:leftChars="0" w:right="0" w:rightChars="0"/>
              <w:jc w:val="left"/>
              <w:rPr>
                <w:rFonts w:hint="eastAsia" w:ascii="仿宋" w:hAnsi="仿宋" w:eastAsia="仿宋" w:cs="仿宋"/>
                <w:color w:val="000000"/>
                <w:kern w:val="0"/>
                <w:sz w:val="21"/>
                <w:szCs w:val="21"/>
                <w:lang w:bidi="ar"/>
              </w:rPr>
            </w:pPr>
            <w:r>
              <w:rPr>
                <w:rFonts w:hint="eastAsia" w:ascii="仿宋" w:hAnsi="仿宋" w:eastAsia="仿宋" w:cs="仿宋"/>
                <w:color w:val="000000"/>
                <w:kern w:val="0"/>
                <w:sz w:val="21"/>
                <w:szCs w:val="21"/>
                <w:lang w:bidi="ar"/>
              </w:rPr>
              <w:t>改革开放史</w:t>
            </w:r>
          </w:p>
          <w:p w14:paraId="3A2F0A6B">
            <w:pPr>
              <w:keepNext w:val="0"/>
              <w:keepLines w:val="0"/>
              <w:widowControl/>
              <w:suppressLineNumbers w:val="0"/>
              <w:spacing w:before="0" w:beforeAutospacing="0" w:after="0" w:afterAutospacing="0"/>
              <w:ind w:left="0" w:leftChars="0" w:right="0" w:rightChars="0"/>
              <w:jc w:val="left"/>
              <w:rPr>
                <w:rFonts w:hint="eastAsia" w:ascii="仿宋" w:hAnsi="仿宋" w:eastAsia="仿宋" w:cs="仿宋"/>
                <w:color w:val="000000"/>
                <w:kern w:val="0"/>
                <w:sz w:val="21"/>
                <w:szCs w:val="21"/>
                <w:lang w:bidi="ar"/>
              </w:rPr>
            </w:pPr>
            <w:r>
              <w:rPr>
                <w:rFonts w:hint="eastAsia" w:ascii="仿宋" w:hAnsi="仿宋" w:eastAsia="仿宋" w:cs="仿宋"/>
                <w:kern w:val="0"/>
                <w:sz w:val="21"/>
                <w:szCs w:val="21"/>
                <w:lang w:val="en-US" w:eastAsia="zh-CN" w:bidi="ar"/>
              </w:rPr>
              <w:t>T</w:t>
            </w:r>
            <w:r>
              <w:rPr>
                <w:rFonts w:hint="eastAsia" w:ascii="仿宋" w:hAnsi="仿宋" w:eastAsia="仿宋" w:cs="仿宋"/>
                <w:kern w:val="0"/>
                <w:sz w:val="21"/>
                <w:szCs w:val="21"/>
                <w:lang w:bidi="ar"/>
              </w:rPr>
              <w:t>he Reform and Opening-up</w:t>
            </w:r>
          </w:p>
        </w:tc>
        <w:tc>
          <w:tcPr>
            <w:tcW w:w="414" w:type="pct"/>
            <w:vMerge w:val="continue"/>
            <w:vAlign w:val="center"/>
          </w:tcPr>
          <w:p w14:paraId="634DE584">
            <w:pPr>
              <w:spacing w:line="360" w:lineRule="auto"/>
              <w:jc w:val="center"/>
              <w:rPr>
                <w:rFonts w:hint="eastAsia" w:ascii="仿宋" w:hAnsi="仿宋" w:eastAsia="仿宋" w:cs="仿宋"/>
                <w:sz w:val="21"/>
                <w:szCs w:val="21"/>
                <w:vertAlign w:val="baseline"/>
                <w:lang w:val="en-US" w:eastAsia="zh-CN"/>
              </w:rPr>
            </w:pPr>
          </w:p>
        </w:tc>
        <w:tc>
          <w:tcPr>
            <w:tcW w:w="448" w:type="pct"/>
            <w:vAlign w:val="center"/>
          </w:tcPr>
          <w:p w14:paraId="253DD31D">
            <w:pPr>
              <w:spacing w:line="360" w:lineRule="auto"/>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1</w:t>
            </w:r>
          </w:p>
        </w:tc>
        <w:tc>
          <w:tcPr>
            <w:tcW w:w="444" w:type="pct"/>
            <w:vAlign w:val="center"/>
          </w:tcPr>
          <w:p w14:paraId="4879D755">
            <w:pPr>
              <w:spacing w:line="360" w:lineRule="auto"/>
              <w:jc w:val="center"/>
              <w:rPr>
                <w:rFonts w:hint="eastAsia" w:ascii="仿宋" w:hAnsi="仿宋" w:eastAsia="仿宋" w:cs="仿宋"/>
                <w:sz w:val="21"/>
                <w:szCs w:val="21"/>
                <w:vertAlign w:val="baseline"/>
              </w:rPr>
            </w:pPr>
          </w:p>
        </w:tc>
        <w:tc>
          <w:tcPr>
            <w:tcW w:w="539" w:type="pct"/>
            <w:vAlign w:val="center"/>
          </w:tcPr>
          <w:p w14:paraId="5DE65D3B">
            <w:pPr>
              <w:spacing w:line="360" w:lineRule="auto"/>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1</w:t>
            </w:r>
          </w:p>
        </w:tc>
      </w:tr>
      <w:tr w14:paraId="44CB7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53" w:type="pct"/>
            <w:vAlign w:val="center"/>
          </w:tcPr>
          <w:p w14:paraId="13C85F87">
            <w:pPr>
              <w:keepNext w:val="0"/>
              <w:keepLines w:val="0"/>
              <w:widowControl/>
              <w:suppressLineNumbers w:val="0"/>
              <w:spacing w:before="0" w:beforeAutospacing="0" w:after="0" w:afterAutospacing="0"/>
              <w:ind w:left="0" w:leftChars="0" w:right="0" w:rightChars="0"/>
              <w:jc w:val="left"/>
              <w:rPr>
                <w:rFonts w:hint="eastAsia" w:ascii="仿宋" w:hAnsi="仿宋" w:eastAsia="仿宋" w:cs="仿宋"/>
                <w:color w:val="000000"/>
                <w:kern w:val="0"/>
                <w:sz w:val="21"/>
                <w:szCs w:val="21"/>
                <w:lang w:bidi="ar"/>
              </w:rPr>
            </w:pPr>
            <w:r>
              <w:rPr>
                <w:rFonts w:hint="eastAsia" w:ascii="仿宋" w:hAnsi="仿宋" w:eastAsia="仿宋" w:cs="仿宋"/>
                <w:color w:val="000000"/>
                <w:kern w:val="0"/>
                <w:sz w:val="21"/>
                <w:szCs w:val="21"/>
                <w:lang w:bidi="ar"/>
              </w:rPr>
              <w:t>社会主义发展史</w:t>
            </w:r>
          </w:p>
          <w:p w14:paraId="2F93CFAF">
            <w:pPr>
              <w:keepNext w:val="0"/>
              <w:keepLines w:val="0"/>
              <w:widowControl/>
              <w:suppressLineNumbers w:val="0"/>
              <w:spacing w:before="0" w:beforeAutospacing="0" w:after="0" w:afterAutospacing="0"/>
              <w:ind w:left="0" w:leftChars="0" w:right="0" w:rightChars="0"/>
              <w:jc w:val="left"/>
              <w:rPr>
                <w:rFonts w:hint="eastAsia" w:ascii="仿宋" w:hAnsi="仿宋" w:eastAsia="仿宋" w:cs="仿宋"/>
                <w:color w:val="000000"/>
                <w:kern w:val="0"/>
                <w:sz w:val="21"/>
                <w:szCs w:val="21"/>
                <w:lang w:bidi="ar"/>
              </w:rPr>
            </w:pPr>
            <w:r>
              <w:rPr>
                <w:rFonts w:hint="eastAsia" w:ascii="仿宋" w:hAnsi="仿宋" w:eastAsia="仿宋" w:cs="仿宋"/>
                <w:kern w:val="0"/>
                <w:sz w:val="21"/>
                <w:szCs w:val="21"/>
                <w:lang w:bidi="ar"/>
              </w:rPr>
              <w:t>Socialist Development Across Chinese Society</w:t>
            </w:r>
          </w:p>
        </w:tc>
        <w:tc>
          <w:tcPr>
            <w:tcW w:w="414" w:type="pct"/>
            <w:vMerge w:val="continue"/>
            <w:vAlign w:val="center"/>
          </w:tcPr>
          <w:p w14:paraId="3A99B4B6">
            <w:pPr>
              <w:spacing w:line="360" w:lineRule="auto"/>
              <w:jc w:val="center"/>
              <w:rPr>
                <w:rFonts w:hint="eastAsia" w:ascii="仿宋" w:hAnsi="仿宋" w:eastAsia="仿宋" w:cs="仿宋"/>
                <w:sz w:val="21"/>
                <w:szCs w:val="21"/>
                <w:vertAlign w:val="baseline"/>
                <w:lang w:val="en-US" w:eastAsia="zh-CN"/>
              </w:rPr>
            </w:pPr>
          </w:p>
        </w:tc>
        <w:tc>
          <w:tcPr>
            <w:tcW w:w="448" w:type="pct"/>
            <w:vAlign w:val="center"/>
          </w:tcPr>
          <w:p w14:paraId="4590D54F">
            <w:pPr>
              <w:spacing w:line="360" w:lineRule="auto"/>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1</w:t>
            </w:r>
          </w:p>
        </w:tc>
        <w:tc>
          <w:tcPr>
            <w:tcW w:w="444" w:type="pct"/>
            <w:vAlign w:val="center"/>
          </w:tcPr>
          <w:p w14:paraId="49E2A532">
            <w:pPr>
              <w:spacing w:line="360" w:lineRule="auto"/>
              <w:jc w:val="center"/>
              <w:rPr>
                <w:rFonts w:hint="eastAsia" w:ascii="仿宋" w:hAnsi="仿宋" w:eastAsia="仿宋" w:cs="仿宋"/>
                <w:sz w:val="21"/>
                <w:szCs w:val="21"/>
                <w:vertAlign w:val="baseline"/>
              </w:rPr>
            </w:pPr>
          </w:p>
        </w:tc>
        <w:tc>
          <w:tcPr>
            <w:tcW w:w="539" w:type="pct"/>
            <w:vAlign w:val="center"/>
          </w:tcPr>
          <w:p w14:paraId="22FD904F">
            <w:pPr>
              <w:spacing w:line="360" w:lineRule="auto"/>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1</w:t>
            </w:r>
          </w:p>
        </w:tc>
      </w:tr>
      <w:tr w14:paraId="6A447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53" w:type="pct"/>
            <w:vAlign w:val="center"/>
          </w:tcPr>
          <w:p w14:paraId="00DEB426">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b/>
                <w:bCs/>
                <w:kern w:val="0"/>
                <w:sz w:val="21"/>
                <w:szCs w:val="21"/>
                <w:lang w:val="en-US" w:eastAsia="zh-CN" w:bidi="ar"/>
              </w:rPr>
            </w:pPr>
            <w:r>
              <w:rPr>
                <w:rFonts w:hint="eastAsia" w:ascii="仿宋" w:hAnsi="仿宋" w:eastAsia="仿宋" w:cs="仿宋"/>
                <w:b/>
                <w:bCs/>
                <w:kern w:val="0"/>
                <w:sz w:val="21"/>
                <w:szCs w:val="21"/>
                <w:lang w:val="en-US" w:eastAsia="zh-CN" w:bidi="ar"/>
              </w:rPr>
              <w:t>小计</w:t>
            </w:r>
          </w:p>
        </w:tc>
        <w:tc>
          <w:tcPr>
            <w:tcW w:w="414" w:type="pct"/>
            <w:vAlign w:val="center"/>
          </w:tcPr>
          <w:p w14:paraId="22EF4599">
            <w:pPr>
              <w:spacing w:line="360" w:lineRule="auto"/>
              <w:jc w:val="center"/>
              <w:rPr>
                <w:rFonts w:hint="eastAsia" w:ascii="仿宋" w:hAnsi="仿宋" w:eastAsia="仿宋" w:cs="仿宋"/>
                <w:b/>
                <w:bCs/>
                <w:sz w:val="21"/>
                <w:szCs w:val="21"/>
                <w:vertAlign w:val="baseline"/>
                <w:lang w:val="en-US" w:eastAsia="zh-CN"/>
              </w:rPr>
            </w:pPr>
          </w:p>
        </w:tc>
        <w:tc>
          <w:tcPr>
            <w:tcW w:w="448" w:type="pct"/>
            <w:vAlign w:val="center"/>
          </w:tcPr>
          <w:p w14:paraId="7DF68E44">
            <w:pPr>
              <w:spacing w:line="360" w:lineRule="auto"/>
              <w:jc w:val="center"/>
              <w:rPr>
                <w:rFonts w:hint="eastAsia" w:ascii="仿宋" w:hAnsi="仿宋" w:eastAsia="仿宋" w:cs="仿宋"/>
                <w:b/>
                <w:bCs/>
                <w:sz w:val="21"/>
                <w:szCs w:val="21"/>
                <w:vertAlign w:val="baseline"/>
                <w:lang w:val="en-US" w:eastAsia="zh-CN"/>
              </w:rPr>
            </w:pPr>
            <w:r>
              <w:rPr>
                <w:rFonts w:hint="eastAsia" w:ascii="仿宋" w:hAnsi="仿宋" w:eastAsia="仿宋" w:cs="仿宋"/>
                <w:b/>
                <w:bCs/>
                <w:sz w:val="21"/>
                <w:szCs w:val="21"/>
                <w:vertAlign w:val="baseline"/>
                <w:lang w:val="en-US" w:eastAsia="zh-CN"/>
              </w:rPr>
              <w:t>15</w:t>
            </w:r>
          </w:p>
        </w:tc>
        <w:tc>
          <w:tcPr>
            <w:tcW w:w="444" w:type="pct"/>
            <w:vAlign w:val="center"/>
          </w:tcPr>
          <w:p w14:paraId="5A05E581">
            <w:pPr>
              <w:spacing w:line="360" w:lineRule="auto"/>
              <w:jc w:val="center"/>
              <w:rPr>
                <w:rFonts w:hint="eastAsia" w:ascii="仿宋" w:hAnsi="仿宋" w:eastAsia="仿宋" w:cs="仿宋"/>
                <w:b/>
                <w:bCs/>
                <w:sz w:val="21"/>
                <w:szCs w:val="21"/>
                <w:vertAlign w:val="baseline"/>
                <w:lang w:val="en-US" w:eastAsia="zh-CN"/>
              </w:rPr>
            </w:pPr>
            <w:r>
              <w:rPr>
                <w:rFonts w:hint="eastAsia" w:ascii="仿宋" w:hAnsi="仿宋" w:eastAsia="仿宋" w:cs="仿宋"/>
                <w:b/>
                <w:bCs/>
                <w:sz w:val="21"/>
                <w:szCs w:val="21"/>
                <w:vertAlign w:val="baseline"/>
                <w:lang w:val="en-US" w:eastAsia="zh-CN"/>
              </w:rPr>
              <w:t>3</w:t>
            </w:r>
          </w:p>
        </w:tc>
        <w:tc>
          <w:tcPr>
            <w:tcW w:w="539" w:type="pct"/>
            <w:vAlign w:val="center"/>
          </w:tcPr>
          <w:p w14:paraId="23F82D66">
            <w:pPr>
              <w:spacing w:line="360" w:lineRule="auto"/>
              <w:jc w:val="center"/>
              <w:rPr>
                <w:rFonts w:hint="eastAsia" w:ascii="仿宋" w:hAnsi="仿宋" w:eastAsia="仿宋" w:cs="仿宋"/>
                <w:b/>
                <w:bCs/>
                <w:sz w:val="21"/>
                <w:szCs w:val="21"/>
                <w:vertAlign w:val="baseline"/>
                <w:lang w:val="en-US" w:eastAsia="zh-CN"/>
              </w:rPr>
            </w:pPr>
            <w:r>
              <w:rPr>
                <w:rFonts w:hint="eastAsia" w:ascii="仿宋" w:hAnsi="仿宋" w:eastAsia="仿宋" w:cs="仿宋"/>
                <w:b/>
                <w:bCs/>
                <w:sz w:val="21"/>
                <w:szCs w:val="21"/>
                <w:vertAlign w:val="baseline"/>
                <w:lang w:val="en-US" w:eastAsia="zh-CN"/>
              </w:rPr>
              <w:t>18</w:t>
            </w:r>
          </w:p>
        </w:tc>
      </w:tr>
    </w:tbl>
    <w:p w14:paraId="30DE74A5">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2.大学外语模块</w:t>
      </w:r>
    </w:p>
    <w:p w14:paraId="341F5F41">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 w:hAnsi="仿宋" w:eastAsia="仿宋" w:cs="仿宋"/>
          <w:sz w:val="30"/>
          <w:szCs w:val="30"/>
          <w:lang w:val="en-US" w:eastAsia="zh-CN"/>
        </w:rPr>
      </w:pPr>
      <w:r>
        <w:rPr>
          <w:rFonts w:hint="eastAsia" w:ascii="仿宋_GB2312" w:hAnsi="仿宋_GB2312" w:eastAsia="仿宋_GB2312" w:cs="仿宋_GB2312"/>
          <w:sz w:val="30"/>
          <w:szCs w:val="30"/>
          <w:lang w:val="en-US" w:eastAsia="zh-CN"/>
        </w:rPr>
        <w:t>大学外语模块开设“大学英语”“大学日语”“雅思英语”，以强化外语语言能力培养，为学生从事国际交流活动奠定良好基础。要求非外国语专业本科生必修英语 10 学分，分别在第1、2、3学期开设，前2学期设置4学分/学期，第3学期设置2学分/学期，共10学分160学时。面向以日语为外语参加高考的学生，开设大学日语课程，大学日语学分学时与大学英语一致。参加国际联合培养班学生修读 “雅思英语”课程，共40学分，前4学期设置8学分/学期，第5、6学期设置4学分/学期，具体实施方案由国际教育学院负责制定。</w:t>
      </w:r>
    </w:p>
    <w:p w14:paraId="747926D8">
      <w:pPr>
        <w:ind w:firstLine="422"/>
        <w:jc w:val="center"/>
        <w:rPr>
          <w:rFonts w:hint="eastAsia" w:ascii="仿宋" w:hAnsi="仿宋" w:eastAsia="仿宋" w:cs="仿宋"/>
        </w:rPr>
      </w:pPr>
      <w:r>
        <w:rPr>
          <w:rFonts w:hint="eastAsia" w:ascii="仿宋" w:hAnsi="仿宋" w:eastAsia="仿宋" w:cs="仿宋"/>
          <w:b/>
          <w:bCs/>
        </w:rPr>
        <w:t>表</w:t>
      </w:r>
      <w:r>
        <w:rPr>
          <w:rFonts w:hint="eastAsia" w:ascii="仿宋" w:hAnsi="仿宋" w:eastAsia="仿宋" w:cs="仿宋"/>
          <w:b/>
          <w:bCs/>
          <w:lang w:val="en-US" w:eastAsia="zh-CN"/>
        </w:rPr>
        <w:t>3</w:t>
      </w:r>
      <w:r>
        <w:rPr>
          <w:rFonts w:hint="eastAsia" w:ascii="仿宋" w:hAnsi="仿宋" w:eastAsia="仿宋" w:cs="仿宋"/>
          <w:b/>
          <w:bCs/>
        </w:rPr>
        <w:t xml:space="preserve">  </w:t>
      </w:r>
      <w:r>
        <w:rPr>
          <w:rFonts w:hint="eastAsia" w:ascii="仿宋" w:hAnsi="仿宋" w:eastAsia="仿宋" w:cs="仿宋"/>
          <w:b/>
          <w:bCs/>
          <w:lang w:val="en-US" w:eastAsia="zh-CN"/>
        </w:rPr>
        <w:t>大学外语模板课程设置一览表</w:t>
      </w:r>
    </w:p>
    <w:tbl>
      <w:tblPr>
        <w:tblStyle w:val="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59"/>
        <w:gridCol w:w="1705"/>
        <w:gridCol w:w="1343"/>
        <w:gridCol w:w="1232"/>
        <w:gridCol w:w="1718"/>
      </w:tblGrid>
      <w:tr w14:paraId="23E6C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blHeader/>
        </w:trPr>
        <w:tc>
          <w:tcPr>
            <w:tcW w:w="1688" w:type="pct"/>
            <w:vAlign w:val="center"/>
          </w:tcPr>
          <w:p w14:paraId="41CB8A88">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 w:hAnsi="仿宋" w:eastAsia="仿宋" w:cs="仿宋"/>
                <w:b/>
                <w:bCs/>
                <w:sz w:val="21"/>
                <w:szCs w:val="21"/>
                <w:vertAlign w:val="baseline"/>
                <w:lang w:val="en-US" w:eastAsia="zh-CN"/>
              </w:rPr>
            </w:pPr>
            <w:r>
              <w:rPr>
                <w:rFonts w:hint="eastAsia" w:ascii="仿宋" w:hAnsi="仿宋" w:eastAsia="仿宋" w:cs="仿宋"/>
                <w:b/>
                <w:bCs/>
                <w:sz w:val="21"/>
                <w:szCs w:val="21"/>
                <w:vertAlign w:val="baseline"/>
                <w:lang w:val="en-US" w:eastAsia="zh-CN"/>
              </w:rPr>
              <w:t>课程名称</w:t>
            </w:r>
          </w:p>
        </w:tc>
        <w:tc>
          <w:tcPr>
            <w:tcW w:w="941" w:type="pct"/>
            <w:vAlign w:val="center"/>
          </w:tcPr>
          <w:p w14:paraId="0E97ADC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 w:hAnsi="仿宋" w:eastAsia="仿宋" w:cs="仿宋"/>
                <w:b/>
                <w:bCs/>
                <w:sz w:val="21"/>
                <w:szCs w:val="21"/>
                <w:vertAlign w:val="baseline"/>
                <w:lang w:val="en-US" w:eastAsia="zh-CN"/>
              </w:rPr>
            </w:pPr>
            <w:r>
              <w:rPr>
                <w:rFonts w:hint="eastAsia" w:ascii="仿宋" w:hAnsi="仿宋" w:eastAsia="仿宋" w:cs="仿宋"/>
                <w:b/>
                <w:bCs/>
                <w:sz w:val="21"/>
                <w:szCs w:val="21"/>
                <w:vertAlign w:val="baseline"/>
                <w:lang w:val="en-US" w:eastAsia="zh-CN"/>
              </w:rPr>
              <w:t>课程性质</w:t>
            </w:r>
          </w:p>
        </w:tc>
        <w:tc>
          <w:tcPr>
            <w:tcW w:w="741" w:type="pct"/>
            <w:vAlign w:val="center"/>
          </w:tcPr>
          <w:p w14:paraId="75B567F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 w:hAnsi="仿宋" w:eastAsia="仿宋" w:cs="仿宋"/>
                <w:b/>
                <w:bCs/>
                <w:sz w:val="21"/>
                <w:szCs w:val="21"/>
                <w:vertAlign w:val="baseline"/>
                <w:lang w:val="en-US" w:eastAsia="zh-CN"/>
              </w:rPr>
            </w:pPr>
            <w:r>
              <w:rPr>
                <w:rFonts w:hint="eastAsia" w:ascii="仿宋" w:hAnsi="仿宋" w:eastAsia="仿宋" w:cs="仿宋"/>
                <w:b/>
                <w:bCs/>
                <w:sz w:val="21"/>
                <w:szCs w:val="21"/>
                <w:vertAlign w:val="baseline"/>
                <w:lang w:val="en-US" w:eastAsia="zh-CN"/>
              </w:rPr>
              <w:t>理论学分</w:t>
            </w:r>
          </w:p>
        </w:tc>
        <w:tc>
          <w:tcPr>
            <w:tcW w:w="680" w:type="pct"/>
            <w:vAlign w:val="center"/>
          </w:tcPr>
          <w:p w14:paraId="5ADD99D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 w:hAnsi="仿宋" w:eastAsia="仿宋" w:cs="仿宋"/>
                <w:b/>
                <w:bCs/>
                <w:sz w:val="21"/>
                <w:szCs w:val="21"/>
                <w:vertAlign w:val="baseline"/>
                <w:lang w:val="en-US" w:eastAsia="zh-CN"/>
              </w:rPr>
            </w:pPr>
            <w:r>
              <w:rPr>
                <w:rFonts w:hint="eastAsia" w:ascii="仿宋" w:hAnsi="仿宋" w:eastAsia="仿宋" w:cs="仿宋"/>
                <w:b/>
                <w:bCs/>
                <w:sz w:val="21"/>
                <w:szCs w:val="21"/>
                <w:vertAlign w:val="baseline"/>
                <w:lang w:val="en-US" w:eastAsia="zh-CN"/>
              </w:rPr>
              <w:t>总学分</w:t>
            </w:r>
          </w:p>
        </w:tc>
        <w:tc>
          <w:tcPr>
            <w:tcW w:w="948" w:type="pct"/>
            <w:vAlign w:val="center"/>
          </w:tcPr>
          <w:p w14:paraId="080FC1A3">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 w:hAnsi="仿宋" w:eastAsia="仿宋" w:cs="仿宋"/>
                <w:b/>
                <w:bCs/>
                <w:sz w:val="21"/>
                <w:szCs w:val="21"/>
                <w:vertAlign w:val="baseline"/>
                <w:lang w:val="en-US" w:eastAsia="zh-CN"/>
              </w:rPr>
            </w:pPr>
            <w:r>
              <w:rPr>
                <w:rFonts w:hint="eastAsia" w:ascii="仿宋" w:hAnsi="仿宋" w:eastAsia="仿宋" w:cs="仿宋"/>
                <w:b/>
                <w:bCs/>
                <w:sz w:val="21"/>
                <w:szCs w:val="21"/>
                <w:vertAlign w:val="baseline"/>
                <w:lang w:val="en-US" w:eastAsia="zh-CN"/>
              </w:rPr>
              <w:t>备注</w:t>
            </w:r>
          </w:p>
        </w:tc>
      </w:tr>
      <w:tr w14:paraId="75BC6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8" w:type="pct"/>
            <w:vAlign w:val="center"/>
          </w:tcPr>
          <w:p w14:paraId="5BB30D5E">
            <w:pPr>
              <w:keepNext w:val="0"/>
              <w:keepLines w:val="0"/>
              <w:widowControl/>
              <w:suppressLineNumbers w:val="0"/>
              <w:spacing w:before="0" w:beforeAutospacing="0" w:after="0" w:afterAutospacing="0"/>
              <w:ind w:left="0" w:right="0"/>
              <w:jc w:val="center"/>
              <w:rPr>
                <w:rFonts w:hint="eastAsia" w:ascii="仿宋" w:hAnsi="仿宋" w:eastAsia="仿宋" w:cs="仿宋"/>
                <w:color w:val="000000"/>
                <w:kern w:val="0"/>
                <w:sz w:val="21"/>
                <w:szCs w:val="21"/>
                <w:lang w:bidi="ar"/>
              </w:rPr>
            </w:pPr>
            <w:r>
              <w:rPr>
                <w:rFonts w:hint="eastAsia" w:ascii="仿宋" w:hAnsi="仿宋" w:eastAsia="仿宋" w:cs="仿宋"/>
                <w:color w:val="000000"/>
                <w:kern w:val="0"/>
                <w:sz w:val="21"/>
                <w:szCs w:val="21"/>
                <w:lang w:bidi="ar"/>
              </w:rPr>
              <w:t>大学英语1</w:t>
            </w:r>
          </w:p>
          <w:p w14:paraId="4C15BDDE">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sz w:val="21"/>
                <w:szCs w:val="21"/>
                <w:vertAlign w:val="baseline"/>
              </w:rPr>
            </w:pPr>
            <w:r>
              <w:rPr>
                <w:rFonts w:hint="eastAsia" w:ascii="仿宋" w:hAnsi="仿宋" w:eastAsia="仿宋" w:cs="仿宋"/>
                <w:color w:val="000000"/>
                <w:kern w:val="0"/>
                <w:sz w:val="21"/>
                <w:szCs w:val="21"/>
                <w:lang w:bidi="ar"/>
              </w:rPr>
              <w:t>College English （1）</w:t>
            </w:r>
          </w:p>
        </w:tc>
        <w:tc>
          <w:tcPr>
            <w:tcW w:w="941" w:type="pct"/>
            <w:vAlign w:val="center"/>
          </w:tcPr>
          <w:p w14:paraId="416A87A0">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必修</w:t>
            </w:r>
          </w:p>
        </w:tc>
        <w:tc>
          <w:tcPr>
            <w:tcW w:w="741" w:type="pct"/>
            <w:vAlign w:val="center"/>
          </w:tcPr>
          <w:p w14:paraId="3C2B974C">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3</w:t>
            </w:r>
          </w:p>
        </w:tc>
        <w:tc>
          <w:tcPr>
            <w:tcW w:w="680" w:type="pct"/>
            <w:vAlign w:val="center"/>
          </w:tcPr>
          <w:p w14:paraId="2A41D6D6">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0"/>
                <w:sz w:val="21"/>
                <w:szCs w:val="21"/>
              </w:rPr>
              <w:t>3</w:t>
            </w:r>
          </w:p>
        </w:tc>
        <w:tc>
          <w:tcPr>
            <w:tcW w:w="948" w:type="pct"/>
            <w:vAlign w:val="center"/>
          </w:tcPr>
          <w:p w14:paraId="6911BFDD">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kern w:val="0"/>
                <w:sz w:val="21"/>
                <w:szCs w:val="21"/>
              </w:rPr>
            </w:pPr>
          </w:p>
        </w:tc>
      </w:tr>
      <w:tr w14:paraId="7ACD7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8" w:type="pct"/>
            <w:vAlign w:val="center"/>
          </w:tcPr>
          <w:p w14:paraId="3BF57156">
            <w:pPr>
              <w:keepNext w:val="0"/>
              <w:keepLines w:val="0"/>
              <w:widowControl/>
              <w:suppressLineNumbers w:val="0"/>
              <w:spacing w:before="0" w:beforeAutospacing="0" w:after="0" w:afterAutospacing="0"/>
              <w:ind w:left="0" w:right="0"/>
              <w:jc w:val="center"/>
              <w:rPr>
                <w:rFonts w:hint="eastAsia" w:ascii="仿宋" w:hAnsi="仿宋" w:eastAsia="仿宋" w:cs="仿宋"/>
                <w:color w:val="000000"/>
                <w:kern w:val="0"/>
                <w:sz w:val="21"/>
                <w:szCs w:val="21"/>
                <w:lang w:bidi="ar"/>
              </w:rPr>
            </w:pPr>
            <w:r>
              <w:rPr>
                <w:rFonts w:hint="eastAsia" w:ascii="仿宋" w:hAnsi="仿宋" w:eastAsia="仿宋" w:cs="仿宋"/>
                <w:color w:val="000000"/>
                <w:kern w:val="0"/>
                <w:sz w:val="21"/>
                <w:szCs w:val="21"/>
                <w:lang w:bidi="ar"/>
              </w:rPr>
              <w:t>大学英语2</w:t>
            </w:r>
          </w:p>
          <w:p w14:paraId="29C9F7F9">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sz w:val="21"/>
                <w:szCs w:val="21"/>
                <w:vertAlign w:val="baseline"/>
              </w:rPr>
            </w:pPr>
            <w:r>
              <w:rPr>
                <w:rFonts w:hint="eastAsia" w:ascii="仿宋" w:hAnsi="仿宋" w:eastAsia="仿宋" w:cs="仿宋"/>
                <w:color w:val="000000"/>
                <w:kern w:val="0"/>
                <w:sz w:val="21"/>
                <w:szCs w:val="21"/>
                <w:lang w:bidi="ar"/>
              </w:rPr>
              <w:t>College English （2）</w:t>
            </w:r>
          </w:p>
        </w:tc>
        <w:tc>
          <w:tcPr>
            <w:tcW w:w="941" w:type="pct"/>
            <w:vAlign w:val="center"/>
          </w:tcPr>
          <w:p w14:paraId="5C8BD24F">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必修</w:t>
            </w:r>
          </w:p>
        </w:tc>
        <w:tc>
          <w:tcPr>
            <w:tcW w:w="741" w:type="pct"/>
            <w:vAlign w:val="center"/>
          </w:tcPr>
          <w:p w14:paraId="770990A4">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sz w:val="21"/>
                <w:szCs w:val="21"/>
                <w:vertAlign w:val="baseline"/>
              </w:rPr>
            </w:pPr>
            <w:r>
              <w:rPr>
                <w:rFonts w:hint="eastAsia" w:ascii="仿宋" w:hAnsi="仿宋" w:eastAsia="仿宋" w:cs="仿宋"/>
                <w:sz w:val="21"/>
                <w:szCs w:val="21"/>
                <w:vertAlign w:val="baseline"/>
                <w:lang w:val="en-US" w:eastAsia="zh-CN"/>
              </w:rPr>
              <w:t>3</w:t>
            </w:r>
          </w:p>
        </w:tc>
        <w:tc>
          <w:tcPr>
            <w:tcW w:w="680" w:type="pct"/>
            <w:vAlign w:val="center"/>
          </w:tcPr>
          <w:p w14:paraId="34EF0337">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0"/>
                <w:sz w:val="21"/>
                <w:szCs w:val="21"/>
              </w:rPr>
              <w:t>3</w:t>
            </w:r>
          </w:p>
        </w:tc>
        <w:tc>
          <w:tcPr>
            <w:tcW w:w="948" w:type="pct"/>
            <w:vAlign w:val="center"/>
          </w:tcPr>
          <w:p w14:paraId="678DEFF3">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kern w:val="0"/>
                <w:sz w:val="21"/>
                <w:szCs w:val="21"/>
              </w:rPr>
            </w:pPr>
          </w:p>
        </w:tc>
      </w:tr>
      <w:tr w14:paraId="7A26F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8" w:type="pct"/>
            <w:vAlign w:val="center"/>
          </w:tcPr>
          <w:p w14:paraId="54DFEF15">
            <w:pPr>
              <w:keepNext w:val="0"/>
              <w:keepLines w:val="0"/>
              <w:widowControl/>
              <w:suppressLineNumbers w:val="0"/>
              <w:spacing w:before="0" w:beforeAutospacing="0" w:after="0" w:afterAutospacing="0"/>
              <w:ind w:left="0" w:right="0"/>
              <w:jc w:val="center"/>
              <w:rPr>
                <w:rFonts w:hint="eastAsia" w:ascii="仿宋" w:hAnsi="仿宋" w:eastAsia="仿宋" w:cs="仿宋"/>
                <w:color w:val="000000"/>
                <w:kern w:val="0"/>
                <w:sz w:val="21"/>
                <w:szCs w:val="21"/>
                <w:lang w:bidi="ar"/>
              </w:rPr>
            </w:pPr>
            <w:r>
              <w:rPr>
                <w:rFonts w:hint="eastAsia" w:ascii="仿宋" w:hAnsi="仿宋" w:eastAsia="仿宋" w:cs="仿宋"/>
                <w:color w:val="000000"/>
                <w:kern w:val="0"/>
                <w:sz w:val="21"/>
                <w:szCs w:val="21"/>
                <w:lang w:bidi="ar"/>
              </w:rPr>
              <w:t>大学英语3</w:t>
            </w:r>
          </w:p>
          <w:p w14:paraId="77F72AF5">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sz w:val="21"/>
                <w:szCs w:val="21"/>
                <w:vertAlign w:val="baseline"/>
              </w:rPr>
            </w:pPr>
            <w:r>
              <w:rPr>
                <w:rFonts w:hint="eastAsia" w:ascii="仿宋" w:hAnsi="仿宋" w:eastAsia="仿宋" w:cs="仿宋"/>
                <w:color w:val="000000"/>
                <w:kern w:val="0"/>
                <w:sz w:val="21"/>
                <w:szCs w:val="21"/>
                <w:lang w:bidi="ar"/>
              </w:rPr>
              <w:t>College English （3）</w:t>
            </w:r>
          </w:p>
        </w:tc>
        <w:tc>
          <w:tcPr>
            <w:tcW w:w="941" w:type="pct"/>
            <w:vAlign w:val="center"/>
          </w:tcPr>
          <w:p w14:paraId="00930CCD">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必修</w:t>
            </w:r>
          </w:p>
        </w:tc>
        <w:tc>
          <w:tcPr>
            <w:tcW w:w="741" w:type="pct"/>
            <w:vAlign w:val="center"/>
          </w:tcPr>
          <w:p w14:paraId="06F12694">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sz w:val="21"/>
                <w:szCs w:val="21"/>
                <w:vertAlign w:val="baseline"/>
              </w:rPr>
            </w:pPr>
            <w:r>
              <w:rPr>
                <w:rFonts w:hint="eastAsia" w:ascii="仿宋" w:hAnsi="仿宋" w:eastAsia="仿宋" w:cs="仿宋"/>
                <w:sz w:val="21"/>
                <w:szCs w:val="21"/>
                <w:vertAlign w:val="baseline"/>
                <w:lang w:val="en-US" w:eastAsia="zh-CN"/>
              </w:rPr>
              <w:t>2</w:t>
            </w:r>
          </w:p>
        </w:tc>
        <w:tc>
          <w:tcPr>
            <w:tcW w:w="680" w:type="pct"/>
            <w:vAlign w:val="center"/>
          </w:tcPr>
          <w:p w14:paraId="2069EE0C">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0"/>
                <w:sz w:val="21"/>
                <w:szCs w:val="21"/>
                <w:lang w:val="en-US" w:eastAsia="zh-CN"/>
              </w:rPr>
              <w:t>2</w:t>
            </w:r>
          </w:p>
        </w:tc>
        <w:tc>
          <w:tcPr>
            <w:tcW w:w="948" w:type="pct"/>
            <w:vAlign w:val="center"/>
          </w:tcPr>
          <w:p w14:paraId="2A378B33">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kern w:val="0"/>
                <w:sz w:val="21"/>
                <w:szCs w:val="21"/>
                <w:lang w:val="en-US" w:eastAsia="zh-CN"/>
              </w:rPr>
            </w:pPr>
          </w:p>
        </w:tc>
      </w:tr>
      <w:tr w14:paraId="3DBFE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8" w:type="pct"/>
            <w:vAlign w:val="center"/>
          </w:tcPr>
          <w:p w14:paraId="56FAD4AB">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color w:val="000000"/>
                <w:kern w:val="0"/>
                <w:sz w:val="21"/>
                <w:szCs w:val="21"/>
                <w:lang w:val="en-US" w:eastAsia="zh-CN" w:bidi="ar"/>
              </w:rPr>
            </w:pPr>
            <w:r>
              <w:rPr>
                <w:rFonts w:hint="eastAsia" w:ascii="仿宋" w:hAnsi="仿宋" w:eastAsia="仿宋" w:cs="仿宋"/>
                <w:color w:val="000000"/>
                <w:kern w:val="0"/>
                <w:sz w:val="21"/>
                <w:szCs w:val="21"/>
                <w:lang w:val="en-US" w:eastAsia="zh-CN" w:bidi="ar"/>
              </w:rPr>
              <w:t>大学日语1</w:t>
            </w:r>
          </w:p>
          <w:p w14:paraId="48CF2CFE">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color w:val="000000"/>
                <w:kern w:val="0"/>
                <w:sz w:val="21"/>
                <w:szCs w:val="21"/>
                <w:lang w:val="en-US" w:eastAsia="zh-CN" w:bidi="ar"/>
              </w:rPr>
            </w:pPr>
            <w:r>
              <w:rPr>
                <w:rFonts w:hint="eastAsia" w:ascii="仿宋" w:hAnsi="仿宋" w:eastAsia="仿宋" w:cs="仿宋"/>
                <w:color w:val="000000"/>
                <w:kern w:val="0"/>
                <w:sz w:val="21"/>
                <w:szCs w:val="21"/>
                <w:lang w:bidi="ar"/>
              </w:rPr>
              <w:t>College </w:t>
            </w:r>
            <w:r>
              <w:rPr>
                <w:rFonts w:hint="eastAsia" w:ascii="仿宋" w:hAnsi="仿宋" w:eastAsia="仿宋" w:cs="仿宋"/>
                <w:color w:val="000000"/>
                <w:kern w:val="0"/>
                <w:sz w:val="21"/>
                <w:szCs w:val="21"/>
                <w:lang w:val="en-US" w:eastAsia="zh-CN" w:bidi="ar"/>
              </w:rPr>
              <w:t>Japanese</w:t>
            </w:r>
            <w:r>
              <w:rPr>
                <w:rFonts w:hint="eastAsia" w:ascii="仿宋" w:hAnsi="仿宋" w:eastAsia="仿宋" w:cs="仿宋"/>
                <w:color w:val="000000"/>
                <w:kern w:val="0"/>
                <w:sz w:val="21"/>
                <w:szCs w:val="21"/>
                <w:lang w:bidi="ar"/>
              </w:rPr>
              <w:t>（1）</w:t>
            </w:r>
          </w:p>
        </w:tc>
        <w:tc>
          <w:tcPr>
            <w:tcW w:w="941" w:type="pct"/>
            <w:vAlign w:val="center"/>
          </w:tcPr>
          <w:p w14:paraId="315C6D60">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必修</w:t>
            </w:r>
          </w:p>
        </w:tc>
        <w:tc>
          <w:tcPr>
            <w:tcW w:w="741" w:type="pct"/>
            <w:vAlign w:val="center"/>
          </w:tcPr>
          <w:p w14:paraId="46CBEF6D">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3</w:t>
            </w:r>
          </w:p>
        </w:tc>
        <w:tc>
          <w:tcPr>
            <w:tcW w:w="680" w:type="pct"/>
            <w:vAlign w:val="center"/>
          </w:tcPr>
          <w:p w14:paraId="75A03409">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rPr>
              <w:t>3</w:t>
            </w:r>
          </w:p>
        </w:tc>
        <w:tc>
          <w:tcPr>
            <w:tcW w:w="948" w:type="pct"/>
            <w:vMerge w:val="restart"/>
            <w:vAlign w:val="center"/>
          </w:tcPr>
          <w:p w14:paraId="60802871">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对象为以日语参加入学考试的学生</w:t>
            </w:r>
          </w:p>
        </w:tc>
      </w:tr>
      <w:tr w14:paraId="330F1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8" w:type="pct"/>
            <w:vAlign w:val="center"/>
          </w:tcPr>
          <w:p w14:paraId="5E5138D4">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color w:val="000000"/>
                <w:kern w:val="0"/>
                <w:sz w:val="21"/>
                <w:szCs w:val="21"/>
                <w:lang w:val="en-US" w:eastAsia="zh-CN" w:bidi="ar"/>
              </w:rPr>
            </w:pPr>
            <w:r>
              <w:rPr>
                <w:rFonts w:hint="eastAsia" w:ascii="仿宋" w:hAnsi="仿宋" w:eastAsia="仿宋" w:cs="仿宋"/>
                <w:color w:val="000000"/>
                <w:kern w:val="0"/>
                <w:sz w:val="21"/>
                <w:szCs w:val="21"/>
                <w:lang w:val="en-US" w:eastAsia="zh-CN" w:bidi="ar"/>
              </w:rPr>
              <w:t>大学日语2</w:t>
            </w:r>
          </w:p>
          <w:p w14:paraId="4C9A6B84">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color w:val="000000"/>
                <w:kern w:val="0"/>
                <w:sz w:val="21"/>
                <w:szCs w:val="21"/>
                <w:lang w:val="en-US" w:eastAsia="zh-CN" w:bidi="ar"/>
              </w:rPr>
            </w:pPr>
            <w:r>
              <w:rPr>
                <w:rFonts w:hint="eastAsia" w:ascii="仿宋" w:hAnsi="仿宋" w:eastAsia="仿宋" w:cs="仿宋"/>
                <w:color w:val="000000"/>
                <w:kern w:val="0"/>
                <w:sz w:val="21"/>
                <w:szCs w:val="21"/>
                <w:lang w:bidi="ar"/>
              </w:rPr>
              <w:t>College </w:t>
            </w:r>
            <w:r>
              <w:rPr>
                <w:rFonts w:hint="eastAsia" w:ascii="仿宋" w:hAnsi="仿宋" w:eastAsia="仿宋" w:cs="仿宋"/>
                <w:color w:val="000000"/>
                <w:kern w:val="0"/>
                <w:sz w:val="21"/>
                <w:szCs w:val="21"/>
                <w:lang w:val="en-US" w:eastAsia="zh-CN" w:bidi="ar"/>
              </w:rPr>
              <w:t>Japanese</w:t>
            </w:r>
            <w:r>
              <w:rPr>
                <w:rFonts w:hint="eastAsia" w:ascii="仿宋" w:hAnsi="仿宋" w:eastAsia="仿宋" w:cs="仿宋"/>
                <w:color w:val="000000"/>
                <w:kern w:val="0"/>
                <w:sz w:val="21"/>
                <w:szCs w:val="21"/>
                <w:lang w:bidi="ar"/>
              </w:rPr>
              <w:t>（</w:t>
            </w:r>
            <w:r>
              <w:rPr>
                <w:rFonts w:hint="eastAsia" w:ascii="仿宋" w:hAnsi="仿宋" w:eastAsia="仿宋" w:cs="仿宋"/>
                <w:color w:val="000000"/>
                <w:kern w:val="0"/>
                <w:sz w:val="21"/>
                <w:szCs w:val="21"/>
                <w:lang w:val="en-US" w:eastAsia="zh-CN" w:bidi="ar"/>
              </w:rPr>
              <w:t>2</w:t>
            </w:r>
            <w:r>
              <w:rPr>
                <w:rFonts w:hint="eastAsia" w:ascii="仿宋" w:hAnsi="仿宋" w:eastAsia="仿宋" w:cs="仿宋"/>
                <w:color w:val="000000"/>
                <w:kern w:val="0"/>
                <w:sz w:val="21"/>
                <w:szCs w:val="21"/>
                <w:lang w:bidi="ar"/>
              </w:rPr>
              <w:t>）</w:t>
            </w:r>
          </w:p>
        </w:tc>
        <w:tc>
          <w:tcPr>
            <w:tcW w:w="941" w:type="pct"/>
            <w:vAlign w:val="center"/>
          </w:tcPr>
          <w:p w14:paraId="6AC3454C">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必修</w:t>
            </w:r>
          </w:p>
        </w:tc>
        <w:tc>
          <w:tcPr>
            <w:tcW w:w="741" w:type="pct"/>
            <w:vAlign w:val="center"/>
          </w:tcPr>
          <w:p w14:paraId="49204750">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3</w:t>
            </w:r>
          </w:p>
        </w:tc>
        <w:tc>
          <w:tcPr>
            <w:tcW w:w="680" w:type="pct"/>
            <w:vAlign w:val="center"/>
          </w:tcPr>
          <w:p w14:paraId="5FDE0C57">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rPr>
              <w:t>3</w:t>
            </w:r>
          </w:p>
        </w:tc>
        <w:tc>
          <w:tcPr>
            <w:tcW w:w="948" w:type="pct"/>
            <w:vMerge w:val="continue"/>
            <w:vAlign w:val="center"/>
          </w:tcPr>
          <w:p w14:paraId="3567E2A2">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kern w:val="0"/>
                <w:sz w:val="21"/>
                <w:szCs w:val="21"/>
              </w:rPr>
            </w:pPr>
          </w:p>
        </w:tc>
      </w:tr>
      <w:tr w14:paraId="7CA27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8" w:type="pct"/>
            <w:vAlign w:val="center"/>
          </w:tcPr>
          <w:p w14:paraId="52A9F8D8">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color w:val="000000"/>
                <w:kern w:val="0"/>
                <w:sz w:val="21"/>
                <w:szCs w:val="21"/>
                <w:lang w:val="en-US" w:eastAsia="zh-CN" w:bidi="ar"/>
              </w:rPr>
            </w:pPr>
            <w:r>
              <w:rPr>
                <w:rFonts w:hint="eastAsia" w:ascii="仿宋" w:hAnsi="仿宋" w:eastAsia="仿宋" w:cs="仿宋"/>
                <w:color w:val="000000"/>
                <w:kern w:val="0"/>
                <w:sz w:val="21"/>
                <w:szCs w:val="21"/>
                <w:lang w:val="en-US" w:eastAsia="zh-CN" w:bidi="ar"/>
              </w:rPr>
              <w:t>大学日语3</w:t>
            </w:r>
          </w:p>
          <w:p w14:paraId="1E35BF05">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color w:val="000000"/>
                <w:kern w:val="0"/>
                <w:sz w:val="21"/>
                <w:szCs w:val="21"/>
                <w:lang w:val="en-US" w:eastAsia="zh-CN" w:bidi="ar"/>
              </w:rPr>
            </w:pPr>
            <w:r>
              <w:rPr>
                <w:rFonts w:hint="eastAsia" w:ascii="仿宋" w:hAnsi="仿宋" w:eastAsia="仿宋" w:cs="仿宋"/>
                <w:color w:val="000000"/>
                <w:kern w:val="0"/>
                <w:sz w:val="21"/>
                <w:szCs w:val="21"/>
                <w:lang w:bidi="ar"/>
              </w:rPr>
              <w:t>College </w:t>
            </w:r>
            <w:r>
              <w:rPr>
                <w:rFonts w:hint="eastAsia" w:ascii="仿宋" w:hAnsi="仿宋" w:eastAsia="仿宋" w:cs="仿宋"/>
                <w:color w:val="000000"/>
                <w:kern w:val="0"/>
                <w:sz w:val="21"/>
                <w:szCs w:val="21"/>
                <w:lang w:val="en-US" w:eastAsia="zh-CN" w:bidi="ar"/>
              </w:rPr>
              <w:t>Japanese</w:t>
            </w:r>
            <w:r>
              <w:rPr>
                <w:rFonts w:hint="eastAsia" w:ascii="仿宋" w:hAnsi="仿宋" w:eastAsia="仿宋" w:cs="仿宋"/>
                <w:color w:val="000000"/>
                <w:kern w:val="0"/>
                <w:sz w:val="21"/>
                <w:szCs w:val="21"/>
                <w:lang w:bidi="ar"/>
              </w:rPr>
              <w:t>（</w:t>
            </w:r>
            <w:r>
              <w:rPr>
                <w:rFonts w:hint="eastAsia" w:ascii="仿宋" w:hAnsi="仿宋" w:eastAsia="仿宋" w:cs="仿宋"/>
                <w:color w:val="000000"/>
                <w:kern w:val="0"/>
                <w:sz w:val="21"/>
                <w:szCs w:val="21"/>
                <w:lang w:val="en-US" w:eastAsia="zh-CN" w:bidi="ar"/>
              </w:rPr>
              <w:t>3</w:t>
            </w:r>
            <w:r>
              <w:rPr>
                <w:rFonts w:hint="eastAsia" w:ascii="仿宋" w:hAnsi="仿宋" w:eastAsia="仿宋" w:cs="仿宋"/>
                <w:color w:val="000000"/>
                <w:kern w:val="0"/>
                <w:sz w:val="21"/>
                <w:szCs w:val="21"/>
                <w:lang w:bidi="ar"/>
              </w:rPr>
              <w:t>）</w:t>
            </w:r>
          </w:p>
        </w:tc>
        <w:tc>
          <w:tcPr>
            <w:tcW w:w="941" w:type="pct"/>
            <w:vAlign w:val="center"/>
          </w:tcPr>
          <w:p w14:paraId="7D7F3147">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必修</w:t>
            </w:r>
          </w:p>
        </w:tc>
        <w:tc>
          <w:tcPr>
            <w:tcW w:w="741" w:type="pct"/>
            <w:vAlign w:val="center"/>
          </w:tcPr>
          <w:p w14:paraId="2618F3CF">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2</w:t>
            </w:r>
          </w:p>
        </w:tc>
        <w:tc>
          <w:tcPr>
            <w:tcW w:w="680" w:type="pct"/>
            <w:vAlign w:val="center"/>
          </w:tcPr>
          <w:p w14:paraId="38686520">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2</w:t>
            </w:r>
          </w:p>
        </w:tc>
        <w:tc>
          <w:tcPr>
            <w:tcW w:w="948" w:type="pct"/>
            <w:vMerge w:val="continue"/>
            <w:vAlign w:val="center"/>
          </w:tcPr>
          <w:p w14:paraId="0116255C">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kern w:val="0"/>
                <w:sz w:val="21"/>
                <w:szCs w:val="21"/>
                <w:lang w:val="en-US" w:eastAsia="zh-CN"/>
              </w:rPr>
            </w:pPr>
          </w:p>
        </w:tc>
      </w:tr>
    </w:tbl>
    <w:p w14:paraId="5BE464DB">
      <w:pPr>
        <w:bidi w:val="0"/>
        <w:rPr>
          <w:rFonts w:hint="eastAsia" w:ascii="仿宋" w:hAnsi="仿宋" w:eastAsia="仿宋" w:cs="仿宋"/>
        </w:rPr>
      </w:pPr>
    </w:p>
    <w:p w14:paraId="3255B710">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3.军事与身心健康模块</w:t>
      </w:r>
    </w:p>
    <w:p w14:paraId="7292539F">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 xml:space="preserve">身心健康模块主要包含军事理论、大学生心理健康、安全教育、大学体育等课程。其中，大学体育课程分为每32学时计1学分，学生需要修满 </w:t>
      </w:r>
      <w:r>
        <w:rPr>
          <w:rFonts w:hint="default" w:ascii="仿宋_GB2312" w:hAnsi="仿宋_GB2312" w:eastAsia="仿宋_GB2312" w:cs="仿宋_GB2312"/>
          <w:sz w:val="30"/>
          <w:szCs w:val="30"/>
          <w:lang w:val="en-US" w:eastAsia="zh-CN"/>
        </w:rPr>
        <w:t>4 学分。</w:t>
      </w:r>
      <w:r>
        <w:rPr>
          <w:rFonts w:hint="eastAsia" w:ascii="仿宋_GB2312" w:hAnsi="仿宋_GB2312" w:eastAsia="仿宋_GB2312" w:cs="仿宋_GB2312"/>
          <w:sz w:val="30"/>
          <w:szCs w:val="30"/>
          <w:lang w:val="en-US" w:eastAsia="zh-CN"/>
        </w:rPr>
        <w:t>鼓励开课单位</w:t>
      </w:r>
      <w:r>
        <w:rPr>
          <w:rFonts w:hint="default" w:ascii="仿宋_GB2312" w:hAnsi="仿宋_GB2312" w:eastAsia="仿宋_GB2312" w:cs="仿宋_GB2312"/>
          <w:sz w:val="30"/>
          <w:szCs w:val="30"/>
          <w:lang w:val="en-US" w:eastAsia="zh-CN"/>
        </w:rPr>
        <w:t>开展多项运动项目教学，提高学生专项运动能力，充分利用在线开放课程、微课等现代信息技术手段，开发体育教学资源，创新体育教学内容，不断增强教学吸引力。</w:t>
      </w:r>
    </w:p>
    <w:p w14:paraId="796F06E3">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4.创新创业模块</w:t>
      </w:r>
    </w:p>
    <w:p w14:paraId="06C34ACF">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学校双创教育课程主要包含创业基础、职业规划和就业指导课，由学校统一安排。</w:t>
      </w:r>
    </w:p>
    <w:p w14:paraId="5EA80F73">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表4  创新创业模板课程设置一览表</w:t>
      </w:r>
    </w:p>
    <w:tbl>
      <w:tblPr>
        <w:tblStyle w:val="9"/>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75"/>
        <w:gridCol w:w="1557"/>
        <w:gridCol w:w="1488"/>
        <w:gridCol w:w="663"/>
        <w:gridCol w:w="765"/>
        <w:gridCol w:w="651"/>
        <w:gridCol w:w="857"/>
      </w:tblGrid>
      <w:tr w14:paraId="5E506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697" w:type="pct"/>
            <w:vAlign w:val="center"/>
          </w:tcPr>
          <w:p w14:paraId="5D80B0D6">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 w:hAnsi="仿宋" w:eastAsia="仿宋" w:cs="仿宋"/>
                <w:b/>
                <w:bCs/>
                <w:kern w:val="2"/>
                <w:sz w:val="21"/>
                <w:szCs w:val="21"/>
                <w:vertAlign w:val="baseline"/>
                <w:lang w:val="en-US" w:eastAsia="zh-CN" w:bidi="ar-SA"/>
              </w:rPr>
            </w:pPr>
            <w:r>
              <w:rPr>
                <w:rFonts w:hint="eastAsia" w:ascii="仿宋" w:hAnsi="仿宋" w:eastAsia="仿宋" w:cs="仿宋"/>
                <w:b/>
                <w:bCs/>
                <w:sz w:val="21"/>
                <w:szCs w:val="21"/>
                <w:vertAlign w:val="baseline"/>
                <w:lang w:val="en-US" w:eastAsia="zh-CN"/>
              </w:rPr>
              <w:t>课程名称</w:t>
            </w:r>
          </w:p>
        </w:tc>
        <w:tc>
          <w:tcPr>
            <w:tcW w:w="859" w:type="pct"/>
            <w:vAlign w:val="center"/>
          </w:tcPr>
          <w:p w14:paraId="16946D2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 w:hAnsi="仿宋" w:eastAsia="仿宋" w:cs="仿宋"/>
                <w:b/>
                <w:bCs/>
                <w:sz w:val="21"/>
                <w:szCs w:val="21"/>
                <w:vertAlign w:val="baseline"/>
                <w:lang w:val="en-US" w:eastAsia="zh-CN"/>
              </w:rPr>
            </w:pPr>
            <w:r>
              <w:rPr>
                <w:rFonts w:hint="eastAsia" w:ascii="仿宋" w:hAnsi="仿宋" w:eastAsia="仿宋" w:cs="仿宋"/>
                <w:b/>
                <w:bCs/>
                <w:sz w:val="21"/>
                <w:szCs w:val="21"/>
                <w:vertAlign w:val="baseline"/>
                <w:lang w:val="en-US" w:eastAsia="zh-CN"/>
              </w:rPr>
              <w:t>课程类别</w:t>
            </w:r>
          </w:p>
        </w:tc>
        <w:tc>
          <w:tcPr>
            <w:tcW w:w="821" w:type="pct"/>
            <w:vAlign w:val="center"/>
          </w:tcPr>
          <w:p w14:paraId="5A4DCD26">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 w:hAnsi="仿宋" w:eastAsia="仿宋" w:cs="仿宋"/>
                <w:b/>
                <w:bCs/>
                <w:sz w:val="21"/>
                <w:szCs w:val="21"/>
                <w:vertAlign w:val="baseline"/>
                <w:lang w:val="en-US" w:eastAsia="zh-CN"/>
              </w:rPr>
            </w:pPr>
            <w:r>
              <w:rPr>
                <w:rFonts w:hint="eastAsia" w:ascii="仿宋" w:hAnsi="仿宋" w:eastAsia="仿宋" w:cs="仿宋"/>
                <w:b/>
                <w:bCs/>
                <w:sz w:val="21"/>
                <w:szCs w:val="21"/>
                <w:vertAlign w:val="baseline"/>
                <w:lang w:val="en-US" w:eastAsia="zh-CN"/>
              </w:rPr>
              <w:t>课程性质</w:t>
            </w:r>
          </w:p>
        </w:tc>
        <w:tc>
          <w:tcPr>
            <w:tcW w:w="366" w:type="pct"/>
            <w:vAlign w:val="center"/>
          </w:tcPr>
          <w:p w14:paraId="11F343B8">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 w:hAnsi="仿宋" w:eastAsia="仿宋" w:cs="仿宋"/>
                <w:b/>
                <w:bCs/>
                <w:sz w:val="21"/>
                <w:szCs w:val="21"/>
                <w:vertAlign w:val="baseline"/>
                <w:lang w:val="en-US" w:eastAsia="zh-CN"/>
              </w:rPr>
            </w:pPr>
            <w:r>
              <w:rPr>
                <w:rFonts w:hint="eastAsia" w:ascii="仿宋" w:hAnsi="仿宋" w:eastAsia="仿宋" w:cs="仿宋"/>
                <w:b/>
                <w:bCs/>
                <w:sz w:val="21"/>
                <w:szCs w:val="21"/>
                <w:vertAlign w:val="baseline"/>
                <w:lang w:val="en-US" w:eastAsia="zh-CN"/>
              </w:rPr>
              <w:t>理论学分</w:t>
            </w:r>
          </w:p>
        </w:tc>
        <w:tc>
          <w:tcPr>
            <w:tcW w:w="422" w:type="pct"/>
            <w:vAlign w:val="center"/>
          </w:tcPr>
          <w:p w14:paraId="149A907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 w:hAnsi="仿宋" w:eastAsia="仿宋" w:cs="仿宋"/>
                <w:b/>
                <w:bCs/>
                <w:sz w:val="21"/>
                <w:szCs w:val="21"/>
                <w:vertAlign w:val="baseline"/>
                <w:lang w:val="en-US" w:eastAsia="zh-CN"/>
              </w:rPr>
            </w:pPr>
            <w:r>
              <w:rPr>
                <w:rFonts w:hint="eastAsia" w:ascii="仿宋" w:hAnsi="仿宋" w:eastAsia="仿宋" w:cs="仿宋"/>
                <w:b/>
                <w:bCs/>
                <w:sz w:val="21"/>
                <w:szCs w:val="21"/>
                <w:vertAlign w:val="baseline"/>
                <w:lang w:val="en-US" w:eastAsia="zh-CN"/>
              </w:rPr>
              <w:t>实践学分</w:t>
            </w:r>
          </w:p>
        </w:tc>
        <w:tc>
          <w:tcPr>
            <w:tcW w:w="359" w:type="pct"/>
            <w:vAlign w:val="center"/>
          </w:tcPr>
          <w:p w14:paraId="174B65D3">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 w:hAnsi="仿宋" w:eastAsia="仿宋" w:cs="仿宋"/>
                <w:b/>
                <w:bCs/>
                <w:sz w:val="21"/>
                <w:szCs w:val="21"/>
                <w:vertAlign w:val="baseline"/>
                <w:lang w:val="en-US" w:eastAsia="zh-CN"/>
              </w:rPr>
            </w:pPr>
            <w:r>
              <w:rPr>
                <w:rFonts w:hint="eastAsia" w:ascii="仿宋" w:hAnsi="仿宋" w:eastAsia="仿宋" w:cs="仿宋"/>
                <w:b/>
                <w:bCs/>
                <w:sz w:val="21"/>
                <w:szCs w:val="21"/>
                <w:vertAlign w:val="baseline"/>
                <w:lang w:val="en-US" w:eastAsia="zh-CN"/>
              </w:rPr>
              <w:t>总学分</w:t>
            </w:r>
          </w:p>
        </w:tc>
        <w:tc>
          <w:tcPr>
            <w:tcW w:w="473" w:type="pct"/>
            <w:vAlign w:val="center"/>
          </w:tcPr>
          <w:p w14:paraId="510330E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 w:hAnsi="仿宋" w:eastAsia="仿宋" w:cs="仿宋"/>
                <w:b/>
                <w:bCs/>
                <w:sz w:val="21"/>
                <w:szCs w:val="21"/>
                <w:vertAlign w:val="baseline"/>
                <w:lang w:val="en-US" w:eastAsia="zh-CN"/>
              </w:rPr>
            </w:pPr>
            <w:r>
              <w:rPr>
                <w:rFonts w:hint="eastAsia" w:ascii="仿宋" w:hAnsi="仿宋" w:eastAsia="仿宋" w:cs="仿宋"/>
                <w:b/>
                <w:bCs/>
                <w:sz w:val="21"/>
                <w:szCs w:val="21"/>
                <w:vertAlign w:val="baseline"/>
                <w:lang w:val="en-US" w:eastAsia="zh-CN"/>
              </w:rPr>
              <w:t>备注</w:t>
            </w:r>
          </w:p>
        </w:tc>
      </w:tr>
      <w:tr w14:paraId="5CBC8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7" w:type="pct"/>
            <w:vAlign w:val="center"/>
          </w:tcPr>
          <w:p w14:paraId="42DC859D">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创业基础</w:t>
            </w:r>
          </w:p>
          <w:p w14:paraId="427FC8D5">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000000" w:themeColor="text1"/>
                <w:kern w:val="0"/>
                <w:sz w:val="21"/>
                <w:szCs w:val="21"/>
                <w:lang w:val="en-US" w:eastAsia="zh-CN"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 xml:space="preserve">Entrepreneurship Foundation </w:t>
            </w:r>
          </w:p>
        </w:tc>
        <w:tc>
          <w:tcPr>
            <w:tcW w:w="859" w:type="pct"/>
            <w:vAlign w:val="center"/>
          </w:tcPr>
          <w:p w14:paraId="68E8B809">
            <w:pPr>
              <w:keepNext w:val="0"/>
              <w:keepLines w:val="0"/>
              <w:widowControl/>
              <w:suppressLineNumbers w:val="0"/>
              <w:adjustRightInd w:val="0"/>
              <w:snapToGrid w:val="0"/>
              <w:spacing w:before="0" w:beforeAutospacing="0" w:after="0" w:afterAutospacing="0"/>
              <w:ind w:left="0" w:leftChars="0" w:right="0" w:rightChars="0"/>
              <w:jc w:val="center"/>
              <w:rPr>
                <w:rFonts w:hint="eastAsia" w:ascii="仿宋" w:hAnsi="仿宋" w:eastAsia="仿宋" w:cs="仿宋"/>
                <w:color w:val="000000" w:themeColor="text1"/>
                <w:kern w:val="0"/>
                <w:sz w:val="21"/>
                <w:szCs w:val="21"/>
                <w:lang w:val="en-US" w:eastAsia="zh-CN" w:bidi="ar"/>
                <w14:textFill>
                  <w14:solidFill>
                    <w14:schemeClr w14:val="tx1"/>
                  </w14:solidFill>
                </w14:textFill>
              </w:rPr>
            </w:pPr>
            <w:r>
              <w:rPr>
                <w:rFonts w:hint="eastAsia" w:ascii="仿宋" w:hAnsi="仿宋" w:eastAsia="仿宋" w:cs="仿宋"/>
                <w:color w:val="000000" w:themeColor="text1"/>
                <w:kern w:val="0"/>
                <w:sz w:val="21"/>
                <w:szCs w:val="21"/>
                <w:lang w:val="en-US" w:eastAsia="zh-CN" w:bidi="ar"/>
                <w14:textFill>
                  <w14:solidFill>
                    <w14:schemeClr w14:val="tx1"/>
                  </w14:solidFill>
                </w14:textFill>
              </w:rPr>
              <w:t>通识课程</w:t>
            </w:r>
          </w:p>
        </w:tc>
        <w:tc>
          <w:tcPr>
            <w:tcW w:w="821" w:type="pct"/>
            <w:vAlign w:val="center"/>
          </w:tcPr>
          <w:p w14:paraId="1DA3F74B">
            <w:pPr>
              <w:spacing w:line="360" w:lineRule="auto"/>
              <w:jc w:val="center"/>
              <w:rPr>
                <w:rFonts w:hint="eastAsia" w:ascii="仿宋" w:hAnsi="仿宋" w:eastAsia="仿宋" w:cs="仿宋"/>
                <w:color w:val="000000" w:themeColor="text1"/>
                <w:sz w:val="21"/>
                <w:szCs w:val="21"/>
                <w:vertAlign w:val="baseline"/>
                <w:lang w:val="en-US" w:eastAsia="zh-CN"/>
                <w14:textFill>
                  <w14:solidFill>
                    <w14:schemeClr w14:val="tx1"/>
                  </w14:solidFill>
                </w14:textFill>
              </w:rPr>
            </w:pPr>
            <w:r>
              <w:rPr>
                <w:rFonts w:hint="eastAsia" w:ascii="仿宋" w:hAnsi="仿宋" w:eastAsia="仿宋" w:cs="仿宋"/>
                <w:color w:val="000000" w:themeColor="text1"/>
                <w:sz w:val="21"/>
                <w:szCs w:val="21"/>
                <w:vertAlign w:val="baseline"/>
                <w:lang w:val="en-US" w:eastAsia="zh-CN"/>
                <w14:textFill>
                  <w14:solidFill>
                    <w14:schemeClr w14:val="tx1"/>
                  </w14:solidFill>
                </w14:textFill>
              </w:rPr>
              <w:t>必修</w:t>
            </w:r>
          </w:p>
        </w:tc>
        <w:tc>
          <w:tcPr>
            <w:tcW w:w="366" w:type="pct"/>
            <w:vAlign w:val="center"/>
          </w:tcPr>
          <w:p w14:paraId="35FEF528">
            <w:pPr>
              <w:spacing w:line="360" w:lineRule="auto"/>
              <w:jc w:val="center"/>
              <w:rPr>
                <w:rFonts w:hint="eastAsia" w:ascii="仿宋" w:hAnsi="仿宋" w:eastAsia="仿宋" w:cs="仿宋"/>
                <w:color w:val="000000" w:themeColor="text1"/>
                <w:sz w:val="21"/>
                <w:szCs w:val="21"/>
                <w:vertAlign w:val="baseline"/>
                <w:lang w:val="en-US" w:eastAsia="zh-CN"/>
                <w14:textFill>
                  <w14:solidFill>
                    <w14:schemeClr w14:val="tx1"/>
                  </w14:solidFill>
                </w14:textFill>
              </w:rPr>
            </w:pPr>
            <w:r>
              <w:rPr>
                <w:rFonts w:hint="eastAsia" w:ascii="仿宋" w:hAnsi="仿宋" w:eastAsia="仿宋" w:cs="仿宋"/>
                <w:color w:val="000000" w:themeColor="text1"/>
                <w:sz w:val="21"/>
                <w:szCs w:val="21"/>
                <w:vertAlign w:val="baseline"/>
                <w:lang w:val="en-US" w:eastAsia="zh-CN"/>
                <w14:textFill>
                  <w14:solidFill>
                    <w14:schemeClr w14:val="tx1"/>
                  </w14:solidFill>
                </w14:textFill>
              </w:rPr>
              <w:t>1</w:t>
            </w:r>
          </w:p>
        </w:tc>
        <w:tc>
          <w:tcPr>
            <w:tcW w:w="422" w:type="pct"/>
            <w:vAlign w:val="center"/>
          </w:tcPr>
          <w:p w14:paraId="2E291ED8">
            <w:pPr>
              <w:spacing w:line="360" w:lineRule="auto"/>
              <w:jc w:val="center"/>
              <w:rPr>
                <w:rFonts w:hint="eastAsia" w:ascii="仿宋" w:hAnsi="仿宋" w:eastAsia="仿宋" w:cs="仿宋"/>
                <w:color w:val="000000" w:themeColor="text1"/>
                <w:sz w:val="21"/>
                <w:szCs w:val="21"/>
                <w:vertAlign w:val="baseline"/>
                <w:lang w:val="en-US" w:eastAsia="zh-CN"/>
                <w14:textFill>
                  <w14:solidFill>
                    <w14:schemeClr w14:val="tx1"/>
                  </w14:solidFill>
                </w14:textFill>
              </w:rPr>
            </w:pPr>
            <w:r>
              <w:rPr>
                <w:rFonts w:hint="eastAsia" w:ascii="仿宋" w:hAnsi="仿宋" w:eastAsia="仿宋" w:cs="仿宋"/>
                <w:color w:val="000000" w:themeColor="text1"/>
                <w:sz w:val="21"/>
                <w:szCs w:val="21"/>
                <w:vertAlign w:val="baseline"/>
                <w:lang w:val="en-US" w:eastAsia="zh-CN"/>
                <w14:textFill>
                  <w14:solidFill>
                    <w14:schemeClr w14:val="tx1"/>
                  </w14:solidFill>
                </w14:textFill>
              </w:rPr>
              <w:t>1</w:t>
            </w:r>
          </w:p>
        </w:tc>
        <w:tc>
          <w:tcPr>
            <w:tcW w:w="359" w:type="pct"/>
            <w:vAlign w:val="center"/>
          </w:tcPr>
          <w:p w14:paraId="6FD220FE">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1"/>
                <w:szCs w:val="21"/>
                <w:vertAlign w:val="baseline"/>
                <w:lang w:val="en-US" w:eastAsia="zh-CN" w:bidi="ar-SA"/>
                <w14:textFill>
                  <w14:solidFill>
                    <w14:schemeClr w14:val="tx1"/>
                  </w14:solidFill>
                </w14:textFill>
              </w:rPr>
            </w:pPr>
            <w:r>
              <w:rPr>
                <w:rFonts w:hint="eastAsia" w:ascii="仿宋" w:hAnsi="仿宋" w:eastAsia="仿宋" w:cs="仿宋"/>
                <w:color w:val="000000" w:themeColor="text1"/>
                <w:kern w:val="0"/>
                <w:sz w:val="21"/>
                <w:szCs w:val="21"/>
                <w14:textFill>
                  <w14:solidFill>
                    <w14:schemeClr w14:val="tx1"/>
                  </w14:solidFill>
                </w14:textFill>
              </w:rPr>
              <w:t>2</w:t>
            </w:r>
          </w:p>
        </w:tc>
        <w:tc>
          <w:tcPr>
            <w:tcW w:w="473" w:type="pct"/>
            <w:vAlign w:val="center"/>
          </w:tcPr>
          <w:p w14:paraId="3BF31A52">
            <w:pPr>
              <w:spacing w:line="360" w:lineRule="auto"/>
              <w:jc w:val="center"/>
              <w:rPr>
                <w:rFonts w:hint="eastAsia" w:ascii="仿宋" w:hAnsi="仿宋" w:eastAsia="仿宋" w:cs="仿宋"/>
                <w:color w:val="0000FF"/>
                <w:kern w:val="0"/>
                <w:sz w:val="21"/>
                <w:szCs w:val="21"/>
              </w:rPr>
            </w:pPr>
          </w:p>
        </w:tc>
      </w:tr>
      <w:tr w14:paraId="5DE76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7" w:type="pct"/>
            <w:vAlign w:val="center"/>
          </w:tcPr>
          <w:p w14:paraId="2CF6358A">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大学生职业生涯规划</w:t>
            </w:r>
          </w:p>
          <w:p w14:paraId="76C044D2">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000000" w:themeColor="text1"/>
                <w:kern w:val="0"/>
                <w:sz w:val="21"/>
                <w:szCs w:val="21"/>
                <w:lang w:val="en-US" w:eastAsia="zh-CN"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Career Planning of College Students</w:t>
            </w:r>
          </w:p>
        </w:tc>
        <w:tc>
          <w:tcPr>
            <w:tcW w:w="859" w:type="pct"/>
            <w:vAlign w:val="center"/>
          </w:tcPr>
          <w:p w14:paraId="11BCC9DB">
            <w:pPr>
              <w:keepNext w:val="0"/>
              <w:keepLines w:val="0"/>
              <w:widowControl/>
              <w:suppressLineNumbers w:val="0"/>
              <w:adjustRightInd w:val="0"/>
              <w:snapToGrid w:val="0"/>
              <w:spacing w:before="0" w:beforeAutospacing="0" w:after="0" w:afterAutospacing="0"/>
              <w:ind w:left="0" w:leftChars="0" w:right="0" w:rightChars="0"/>
              <w:jc w:val="center"/>
              <w:rPr>
                <w:rFonts w:hint="eastAsia" w:ascii="仿宋" w:hAnsi="仿宋" w:eastAsia="仿宋" w:cs="仿宋"/>
                <w:color w:val="000000" w:themeColor="text1"/>
                <w:kern w:val="0"/>
                <w:sz w:val="21"/>
                <w:szCs w:val="21"/>
                <w:lang w:val="en-US" w:eastAsia="zh-CN" w:bidi="ar"/>
                <w14:textFill>
                  <w14:solidFill>
                    <w14:schemeClr w14:val="tx1"/>
                  </w14:solidFill>
                </w14:textFill>
              </w:rPr>
            </w:pPr>
            <w:r>
              <w:rPr>
                <w:rFonts w:hint="eastAsia" w:ascii="仿宋" w:hAnsi="仿宋" w:eastAsia="仿宋" w:cs="仿宋"/>
                <w:color w:val="000000" w:themeColor="text1"/>
                <w:kern w:val="0"/>
                <w:sz w:val="21"/>
                <w:szCs w:val="21"/>
                <w:lang w:val="en-US" w:eastAsia="zh-CN" w:bidi="ar"/>
                <w14:textFill>
                  <w14:solidFill>
                    <w14:schemeClr w14:val="tx1"/>
                  </w14:solidFill>
                </w14:textFill>
              </w:rPr>
              <w:t>通识课程</w:t>
            </w:r>
          </w:p>
        </w:tc>
        <w:tc>
          <w:tcPr>
            <w:tcW w:w="821" w:type="pct"/>
            <w:vAlign w:val="center"/>
          </w:tcPr>
          <w:p w14:paraId="6BCAA76D">
            <w:pPr>
              <w:spacing w:line="360" w:lineRule="auto"/>
              <w:jc w:val="center"/>
              <w:rPr>
                <w:rFonts w:hint="eastAsia" w:ascii="仿宋" w:hAnsi="仿宋" w:eastAsia="仿宋" w:cs="仿宋"/>
                <w:color w:val="000000" w:themeColor="text1"/>
                <w:sz w:val="21"/>
                <w:szCs w:val="21"/>
                <w:vertAlign w:val="baseline"/>
                <w:lang w:val="en-US" w:eastAsia="zh-CN"/>
                <w14:textFill>
                  <w14:solidFill>
                    <w14:schemeClr w14:val="tx1"/>
                  </w14:solidFill>
                </w14:textFill>
              </w:rPr>
            </w:pPr>
            <w:r>
              <w:rPr>
                <w:rFonts w:hint="eastAsia" w:ascii="仿宋" w:hAnsi="仿宋" w:eastAsia="仿宋" w:cs="仿宋"/>
                <w:color w:val="000000" w:themeColor="text1"/>
                <w:sz w:val="21"/>
                <w:szCs w:val="21"/>
                <w:vertAlign w:val="baseline"/>
                <w:lang w:val="en-US" w:eastAsia="zh-CN"/>
                <w14:textFill>
                  <w14:solidFill>
                    <w14:schemeClr w14:val="tx1"/>
                  </w14:solidFill>
                </w14:textFill>
              </w:rPr>
              <w:t>必修</w:t>
            </w:r>
          </w:p>
        </w:tc>
        <w:tc>
          <w:tcPr>
            <w:tcW w:w="366" w:type="pct"/>
            <w:vAlign w:val="center"/>
          </w:tcPr>
          <w:p w14:paraId="2C49A9A4">
            <w:pPr>
              <w:spacing w:line="360" w:lineRule="auto"/>
              <w:jc w:val="center"/>
              <w:rPr>
                <w:rFonts w:hint="eastAsia" w:ascii="仿宋" w:hAnsi="仿宋" w:eastAsia="仿宋" w:cs="仿宋"/>
                <w:color w:val="000000" w:themeColor="text1"/>
                <w:sz w:val="21"/>
                <w:szCs w:val="21"/>
                <w:vertAlign w:val="baseline"/>
                <w:lang w:val="en-US" w:eastAsia="zh-CN"/>
                <w14:textFill>
                  <w14:solidFill>
                    <w14:schemeClr w14:val="tx1"/>
                  </w14:solidFill>
                </w14:textFill>
              </w:rPr>
            </w:pPr>
            <w:r>
              <w:rPr>
                <w:rFonts w:hint="eastAsia" w:ascii="仿宋" w:hAnsi="仿宋" w:eastAsia="仿宋" w:cs="仿宋"/>
                <w:color w:val="000000" w:themeColor="text1"/>
                <w:sz w:val="21"/>
                <w:szCs w:val="21"/>
                <w:vertAlign w:val="baseline"/>
                <w:lang w:val="en-US" w:eastAsia="zh-CN"/>
                <w14:textFill>
                  <w14:solidFill>
                    <w14:schemeClr w14:val="tx1"/>
                  </w14:solidFill>
                </w14:textFill>
              </w:rPr>
              <w:t>0.5</w:t>
            </w:r>
          </w:p>
        </w:tc>
        <w:tc>
          <w:tcPr>
            <w:tcW w:w="422" w:type="pct"/>
            <w:vAlign w:val="center"/>
          </w:tcPr>
          <w:p w14:paraId="77A77042">
            <w:pPr>
              <w:spacing w:line="360" w:lineRule="auto"/>
              <w:jc w:val="center"/>
              <w:rPr>
                <w:rFonts w:hint="eastAsia" w:ascii="仿宋" w:hAnsi="仿宋" w:eastAsia="仿宋" w:cs="仿宋"/>
                <w:color w:val="000000" w:themeColor="text1"/>
                <w:sz w:val="21"/>
                <w:szCs w:val="21"/>
                <w:vertAlign w:val="baseline"/>
                <w:lang w:val="en-US" w:eastAsia="zh-CN"/>
                <w14:textFill>
                  <w14:solidFill>
                    <w14:schemeClr w14:val="tx1"/>
                  </w14:solidFill>
                </w14:textFill>
              </w:rPr>
            </w:pPr>
            <w:r>
              <w:rPr>
                <w:rFonts w:hint="eastAsia" w:ascii="仿宋" w:hAnsi="仿宋" w:eastAsia="仿宋" w:cs="仿宋"/>
                <w:color w:val="000000" w:themeColor="text1"/>
                <w:sz w:val="21"/>
                <w:szCs w:val="21"/>
                <w:vertAlign w:val="baseline"/>
                <w:lang w:val="en-US" w:eastAsia="zh-CN"/>
                <w14:textFill>
                  <w14:solidFill>
                    <w14:schemeClr w14:val="tx1"/>
                  </w14:solidFill>
                </w14:textFill>
              </w:rPr>
              <w:t>0.5</w:t>
            </w:r>
          </w:p>
        </w:tc>
        <w:tc>
          <w:tcPr>
            <w:tcW w:w="359" w:type="pct"/>
            <w:vAlign w:val="center"/>
          </w:tcPr>
          <w:p w14:paraId="5C1AF1C9">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1"/>
                <w:szCs w:val="21"/>
                <w:vertAlign w:val="baseline"/>
                <w:lang w:val="en-US" w:eastAsia="zh-CN" w:bidi="ar-SA"/>
                <w14:textFill>
                  <w14:solidFill>
                    <w14:schemeClr w14:val="tx1"/>
                  </w14:solidFill>
                </w14:textFill>
              </w:rPr>
            </w:pPr>
            <w:r>
              <w:rPr>
                <w:rFonts w:hint="eastAsia" w:ascii="仿宋" w:hAnsi="仿宋" w:eastAsia="仿宋" w:cs="仿宋"/>
                <w:color w:val="000000" w:themeColor="text1"/>
                <w:kern w:val="0"/>
                <w:sz w:val="21"/>
                <w:szCs w:val="21"/>
                <w14:textFill>
                  <w14:solidFill>
                    <w14:schemeClr w14:val="tx1"/>
                  </w14:solidFill>
                </w14:textFill>
              </w:rPr>
              <w:t>1</w:t>
            </w:r>
          </w:p>
        </w:tc>
        <w:tc>
          <w:tcPr>
            <w:tcW w:w="473" w:type="pct"/>
            <w:vAlign w:val="center"/>
          </w:tcPr>
          <w:p w14:paraId="1165C38D">
            <w:pPr>
              <w:spacing w:line="360" w:lineRule="auto"/>
              <w:jc w:val="center"/>
              <w:rPr>
                <w:rFonts w:hint="eastAsia" w:ascii="仿宋" w:hAnsi="仿宋" w:eastAsia="仿宋" w:cs="仿宋"/>
                <w:kern w:val="0"/>
                <w:sz w:val="21"/>
                <w:szCs w:val="21"/>
              </w:rPr>
            </w:pPr>
          </w:p>
        </w:tc>
      </w:tr>
      <w:tr w14:paraId="5EF76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7" w:type="pct"/>
            <w:vAlign w:val="center"/>
          </w:tcPr>
          <w:p w14:paraId="3D74275A">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就业指导</w:t>
            </w:r>
          </w:p>
          <w:p w14:paraId="519049EC">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000000" w:themeColor="text1"/>
                <w:kern w:val="0"/>
                <w:sz w:val="21"/>
                <w:szCs w:val="21"/>
                <w:lang w:val="en-US" w:eastAsia="zh-CN"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fldChar w:fldCharType="begin"/>
            </w:r>
            <w:r>
              <w:rPr>
                <w:rFonts w:hint="eastAsia" w:ascii="仿宋" w:hAnsi="仿宋" w:eastAsia="仿宋" w:cs="仿宋"/>
                <w:color w:val="000000" w:themeColor="text1"/>
                <w:kern w:val="0"/>
                <w:sz w:val="21"/>
                <w:szCs w:val="21"/>
                <w:lang w:bidi="ar"/>
                <w14:textFill>
                  <w14:solidFill>
                    <w14:schemeClr w14:val="tx1"/>
                  </w14:solidFill>
                </w14:textFill>
              </w:rPr>
              <w:instrText xml:space="preserve"> HYPERLINK "https://cn.bing.com/dict/search?q=vocational&amp;FORM=BDVSP6&amp;cc=cn" </w:instrText>
            </w:r>
            <w:r>
              <w:rPr>
                <w:rFonts w:hint="eastAsia" w:ascii="仿宋" w:hAnsi="仿宋" w:eastAsia="仿宋" w:cs="仿宋"/>
                <w:color w:val="000000" w:themeColor="text1"/>
                <w:kern w:val="0"/>
                <w:sz w:val="21"/>
                <w:szCs w:val="21"/>
                <w:lang w:bidi="ar"/>
                <w14:textFill>
                  <w14:solidFill>
                    <w14:schemeClr w14:val="tx1"/>
                  </w14:solidFill>
                </w14:textFill>
              </w:rPr>
              <w:fldChar w:fldCharType="separate"/>
            </w:r>
            <w:r>
              <w:rPr>
                <w:rFonts w:hint="eastAsia" w:ascii="仿宋" w:hAnsi="仿宋" w:eastAsia="仿宋" w:cs="仿宋"/>
                <w:color w:val="000000" w:themeColor="text1"/>
                <w:kern w:val="0"/>
                <w:sz w:val="21"/>
                <w:szCs w:val="21"/>
                <w:lang w:bidi="ar"/>
                <w14:textFill>
                  <w14:solidFill>
                    <w14:schemeClr w14:val="tx1"/>
                  </w14:solidFill>
                </w14:textFill>
              </w:rPr>
              <w:t>Vocational</w:t>
            </w:r>
            <w:r>
              <w:rPr>
                <w:rFonts w:hint="eastAsia" w:ascii="仿宋" w:hAnsi="仿宋" w:eastAsia="仿宋" w:cs="仿宋"/>
                <w:color w:val="000000" w:themeColor="text1"/>
                <w:kern w:val="0"/>
                <w:sz w:val="21"/>
                <w:szCs w:val="21"/>
                <w:lang w:bidi="ar"/>
                <w14:textFill>
                  <w14:solidFill>
                    <w14:schemeClr w14:val="tx1"/>
                  </w14:solidFill>
                </w14:textFill>
              </w:rPr>
              <w:fldChar w:fldCharType="end"/>
            </w:r>
            <w:r>
              <w:rPr>
                <w:rFonts w:hint="eastAsia" w:ascii="仿宋" w:hAnsi="仿宋" w:eastAsia="仿宋" w:cs="仿宋"/>
                <w:color w:val="000000" w:themeColor="text1"/>
                <w:kern w:val="0"/>
                <w:sz w:val="21"/>
                <w:szCs w:val="21"/>
                <w:lang w:bidi="ar"/>
                <w14:textFill>
                  <w14:solidFill>
                    <w14:schemeClr w14:val="tx1"/>
                  </w14:solidFill>
                </w14:textFill>
              </w:rPr>
              <w:t> </w:t>
            </w:r>
            <w:r>
              <w:rPr>
                <w:rFonts w:hint="eastAsia" w:ascii="仿宋" w:hAnsi="仿宋" w:eastAsia="仿宋" w:cs="仿宋"/>
                <w:color w:val="000000" w:themeColor="text1"/>
                <w:kern w:val="0"/>
                <w:sz w:val="21"/>
                <w:szCs w:val="21"/>
                <w:lang w:bidi="ar"/>
                <w14:textFill>
                  <w14:solidFill>
                    <w14:schemeClr w14:val="tx1"/>
                  </w14:solidFill>
                </w14:textFill>
              </w:rPr>
              <w:fldChar w:fldCharType="begin"/>
            </w:r>
            <w:r>
              <w:rPr>
                <w:rFonts w:hint="eastAsia" w:ascii="仿宋" w:hAnsi="仿宋" w:eastAsia="仿宋" w:cs="仿宋"/>
                <w:color w:val="000000" w:themeColor="text1"/>
                <w:kern w:val="0"/>
                <w:sz w:val="21"/>
                <w:szCs w:val="21"/>
                <w:lang w:bidi="ar"/>
                <w14:textFill>
                  <w14:solidFill>
                    <w14:schemeClr w14:val="tx1"/>
                  </w14:solidFill>
                </w14:textFill>
              </w:rPr>
              <w:instrText xml:space="preserve"> HYPERLINK "https://cn.bing.com/dict/search?q=counsel&amp;FORM=BDVSP6&amp;cc=cn" </w:instrText>
            </w:r>
            <w:r>
              <w:rPr>
                <w:rFonts w:hint="eastAsia" w:ascii="仿宋" w:hAnsi="仿宋" w:eastAsia="仿宋" w:cs="仿宋"/>
                <w:color w:val="000000" w:themeColor="text1"/>
                <w:kern w:val="0"/>
                <w:sz w:val="21"/>
                <w:szCs w:val="21"/>
                <w:lang w:bidi="ar"/>
                <w14:textFill>
                  <w14:solidFill>
                    <w14:schemeClr w14:val="tx1"/>
                  </w14:solidFill>
                </w14:textFill>
              </w:rPr>
              <w:fldChar w:fldCharType="separate"/>
            </w:r>
            <w:r>
              <w:rPr>
                <w:rFonts w:hint="eastAsia" w:ascii="仿宋" w:hAnsi="仿宋" w:eastAsia="仿宋" w:cs="仿宋"/>
                <w:color w:val="000000" w:themeColor="text1"/>
                <w:kern w:val="0"/>
                <w:sz w:val="21"/>
                <w:szCs w:val="21"/>
                <w:lang w:bidi="ar"/>
                <w14:textFill>
                  <w14:solidFill>
                    <w14:schemeClr w14:val="tx1"/>
                  </w14:solidFill>
                </w14:textFill>
              </w:rPr>
              <w:t>Counsel</w:t>
            </w:r>
            <w:r>
              <w:rPr>
                <w:rFonts w:hint="eastAsia" w:ascii="仿宋" w:hAnsi="仿宋" w:eastAsia="仿宋" w:cs="仿宋"/>
                <w:color w:val="000000" w:themeColor="text1"/>
                <w:kern w:val="0"/>
                <w:sz w:val="21"/>
                <w:szCs w:val="21"/>
                <w:lang w:bidi="ar"/>
                <w14:textFill>
                  <w14:solidFill>
                    <w14:schemeClr w14:val="tx1"/>
                  </w14:solidFill>
                </w14:textFill>
              </w:rPr>
              <w:fldChar w:fldCharType="end"/>
            </w:r>
          </w:p>
        </w:tc>
        <w:tc>
          <w:tcPr>
            <w:tcW w:w="859" w:type="pct"/>
            <w:vAlign w:val="center"/>
          </w:tcPr>
          <w:p w14:paraId="438C48E3">
            <w:pPr>
              <w:keepNext w:val="0"/>
              <w:keepLines w:val="0"/>
              <w:widowControl/>
              <w:suppressLineNumbers w:val="0"/>
              <w:adjustRightInd w:val="0"/>
              <w:snapToGrid w:val="0"/>
              <w:spacing w:before="0" w:beforeAutospacing="0" w:after="0" w:afterAutospacing="0"/>
              <w:ind w:left="0" w:leftChars="0" w:right="0" w:rightChars="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kern w:val="0"/>
                <w:sz w:val="21"/>
                <w:szCs w:val="21"/>
                <w:lang w:val="en-US" w:eastAsia="zh-CN" w:bidi="ar"/>
                <w14:textFill>
                  <w14:solidFill>
                    <w14:schemeClr w14:val="tx1"/>
                  </w14:solidFill>
                </w14:textFill>
              </w:rPr>
              <w:t>通识课程</w:t>
            </w:r>
          </w:p>
        </w:tc>
        <w:tc>
          <w:tcPr>
            <w:tcW w:w="821" w:type="pct"/>
            <w:vAlign w:val="center"/>
          </w:tcPr>
          <w:p w14:paraId="7EC264DE">
            <w:pPr>
              <w:spacing w:line="360" w:lineRule="auto"/>
              <w:jc w:val="center"/>
              <w:rPr>
                <w:rFonts w:hint="eastAsia" w:ascii="仿宋" w:hAnsi="仿宋" w:eastAsia="仿宋" w:cs="仿宋"/>
                <w:color w:val="000000" w:themeColor="text1"/>
                <w:sz w:val="21"/>
                <w:szCs w:val="21"/>
                <w:vertAlign w:val="baseline"/>
                <w:lang w:val="en-US" w:eastAsia="zh-CN"/>
                <w14:textFill>
                  <w14:solidFill>
                    <w14:schemeClr w14:val="tx1"/>
                  </w14:solidFill>
                </w14:textFill>
              </w:rPr>
            </w:pPr>
            <w:r>
              <w:rPr>
                <w:rFonts w:hint="eastAsia" w:ascii="仿宋" w:hAnsi="仿宋" w:eastAsia="仿宋" w:cs="仿宋"/>
                <w:color w:val="000000" w:themeColor="text1"/>
                <w:sz w:val="21"/>
                <w:szCs w:val="21"/>
                <w:vertAlign w:val="baseline"/>
                <w:lang w:val="en-US" w:eastAsia="zh-CN"/>
                <w14:textFill>
                  <w14:solidFill>
                    <w14:schemeClr w14:val="tx1"/>
                  </w14:solidFill>
                </w14:textFill>
              </w:rPr>
              <w:t>必修</w:t>
            </w:r>
          </w:p>
        </w:tc>
        <w:tc>
          <w:tcPr>
            <w:tcW w:w="366" w:type="pct"/>
            <w:vAlign w:val="center"/>
          </w:tcPr>
          <w:p w14:paraId="62278684">
            <w:pPr>
              <w:spacing w:line="360" w:lineRule="auto"/>
              <w:jc w:val="center"/>
              <w:rPr>
                <w:rFonts w:hint="eastAsia" w:ascii="仿宋" w:hAnsi="仿宋" w:eastAsia="仿宋" w:cs="仿宋"/>
                <w:color w:val="000000" w:themeColor="text1"/>
                <w:sz w:val="21"/>
                <w:szCs w:val="21"/>
                <w:vertAlign w:val="baseline"/>
                <w:lang w:val="en-US" w:eastAsia="zh-CN"/>
                <w14:textFill>
                  <w14:solidFill>
                    <w14:schemeClr w14:val="tx1"/>
                  </w14:solidFill>
                </w14:textFill>
              </w:rPr>
            </w:pPr>
            <w:r>
              <w:rPr>
                <w:rFonts w:hint="eastAsia" w:ascii="仿宋" w:hAnsi="仿宋" w:eastAsia="仿宋" w:cs="仿宋"/>
                <w:color w:val="000000" w:themeColor="text1"/>
                <w:sz w:val="21"/>
                <w:szCs w:val="21"/>
                <w:vertAlign w:val="baseline"/>
                <w:lang w:val="en-US" w:eastAsia="zh-CN"/>
                <w14:textFill>
                  <w14:solidFill>
                    <w14:schemeClr w14:val="tx1"/>
                  </w14:solidFill>
                </w14:textFill>
              </w:rPr>
              <w:t>0.5</w:t>
            </w:r>
          </w:p>
        </w:tc>
        <w:tc>
          <w:tcPr>
            <w:tcW w:w="422" w:type="pct"/>
            <w:vAlign w:val="center"/>
          </w:tcPr>
          <w:p w14:paraId="6CE776BA">
            <w:pPr>
              <w:spacing w:line="360" w:lineRule="auto"/>
              <w:jc w:val="center"/>
              <w:rPr>
                <w:rFonts w:hint="eastAsia" w:ascii="仿宋" w:hAnsi="仿宋" w:eastAsia="仿宋" w:cs="仿宋"/>
                <w:color w:val="000000" w:themeColor="text1"/>
                <w:sz w:val="21"/>
                <w:szCs w:val="21"/>
                <w:vertAlign w:val="baseline"/>
                <w:lang w:val="en-US" w:eastAsia="zh-CN"/>
                <w14:textFill>
                  <w14:solidFill>
                    <w14:schemeClr w14:val="tx1"/>
                  </w14:solidFill>
                </w14:textFill>
              </w:rPr>
            </w:pPr>
            <w:r>
              <w:rPr>
                <w:rFonts w:hint="eastAsia" w:ascii="仿宋" w:hAnsi="仿宋" w:eastAsia="仿宋" w:cs="仿宋"/>
                <w:color w:val="000000" w:themeColor="text1"/>
                <w:sz w:val="21"/>
                <w:szCs w:val="21"/>
                <w:vertAlign w:val="baseline"/>
                <w:lang w:val="en-US" w:eastAsia="zh-CN"/>
                <w14:textFill>
                  <w14:solidFill>
                    <w14:schemeClr w14:val="tx1"/>
                  </w14:solidFill>
                </w14:textFill>
              </w:rPr>
              <w:t>0.5</w:t>
            </w:r>
          </w:p>
        </w:tc>
        <w:tc>
          <w:tcPr>
            <w:tcW w:w="359" w:type="pct"/>
            <w:vAlign w:val="center"/>
          </w:tcPr>
          <w:p w14:paraId="4A4207D7">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color w:val="000000" w:themeColor="text1"/>
                <w:kern w:val="2"/>
                <w:sz w:val="21"/>
                <w:szCs w:val="21"/>
                <w:vertAlign w:val="baseline"/>
                <w:lang w:val="en-US" w:eastAsia="zh-CN" w:bidi="ar-SA"/>
                <w14:textFill>
                  <w14:solidFill>
                    <w14:schemeClr w14:val="tx1"/>
                  </w14:solidFill>
                </w14:textFill>
              </w:rPr>
            </w:pPr>
            <w:r>
              <w:rPr>
                <w:rFonts w:hint="eastAsia" w:ascii="仿宋" w:hAnsi="仿宋" w:eastAsia="仿宋" w:cs="仿宋"/>
                <w:color w:val="000000" w:themeColor="text1"/>
                <w:kern w:val="0"/>
                <w:sz w:val="21"/>
                <w:szCs w:val="21"/>
                <w14:textFill>
                  <w14:solidFill>
                    <w14:schemeClr w14:val="tx1"/>
                  </w14:solidFill>
                </w14:textFill>
              </w:rPr>
              <w:t>1</w:t>
            </w:r>
          </w:p>
        </w:tc>
        <w:tc>
          <w:tcPr>
            <w:tcW w:w="473" w:type="pct"/>
            <w:vAlign w:val="center"/>
          </w:tcPr>
          <w:p w14:paraId="28D8880B">
            <w:pPr>
              <w:spacing w:line="360" w:lineRule="auto"/>
              <w:jc w:val="center"/>
              <w:rPr>
                <w:rFonts w:hint="eastAsia" w:ascii="仿宋" w:hAnsi="仿宋" w:eastAsia="仿宋" w:cs="仿宋"/>
                <w:kern w:val="0"/>
                <w:sz w:val="21"/>
                <w:szCs w:val="21"/>
              </w:rPr>
            </w:pPr>
          </w:p>
        </w:tc>
      </w:tr>
      <w:tr w14:paraId="1AD1E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7" w:type="pct"/>
            <w:vAlign w:val="center"/>
          </w:tcPr>
          <w:p w14:paraId="7F7B241C">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成功创业指导</w:t>
            </w:r>
          </w:p>
          <w:p w14:paraId="5349E4E5">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 xml:space="preserve">Guide to </w:t>
            </w:r>
            <w:r>
              <w:rPr>
                <w:rFonts w:hint="eastAsia" w:ascii="仿宋" w:hAnsi="仿宋" w:eastAsia="仿宋" w:cs="仿宋"/>
                <w:color w:val="000000" w:themeColor="text1"/>
                <w:kern w:val="0"/>
                <w:sz w:val="21"/>
                <w:szCs w:val="21"/>
                <w:lang w:val="en-US" w:eastAsia="zh-CN" w:bidi="ar"/>
                <w14:textFill>
                  <w14:solidFill>
                    <w14:schemeClr w14:val="tx1"/>
                  </w14:solidFill>
                </w14:textFill>
              </w:rPr>
              <w:t>S</w:t>
            </w:r>
            <w:r>
              <w:rPr>
                <w:rFonts w:hint="eastAsia" w:ascii="仿宋" w:hAnsi="仿宋" w:eastAsia="仿宋" w:cs="仿宋"/>
                <w:color w:val="000000" w:themeColor="text1"/>
                <w:kern w:val="0"/>
                <w:sz w:val="21"/>
                <w:szCs w:val="21"/>
                <w:lang w:bidi="ar"/>
                <w14:textFill>
                  <w14:solidFill>
                    <w14:schemeClr w14:val="tx1"/>
                  </w14:solidFill>
                </w14:textFill>
              </w:rPr>
              <w:t xml:space="preserve">uccessful </w:t>
            </w:r>
            <w:r>
              <w:rPr>
                <w:rFonts w:hint="eastAsia" w:ascii="仿宋" w:hAnsi="仿宋" w:eastAsia="仿宋" w:cs="仿宋"/>
                <w:color w:val="000000" w:themeColor="text1"/>
                <w:kern w:val="0"/>
                <w:sz w:val="21"/>
                <w:szCs w:val="21"/>
                <w:lang w:val="en-US" w:eastAsia="zh-CN" w:bidi="ar"/>
                <w14:textFill>
                  <w14:solidFill>
                    <w14:schemeClr w14:val="tx1"/>
                  </w14:solidFill>
                </w14:textFill>
              </w:rPr>
              <w:t>E</w:t>
            </w:r>
            <w:r>
              <w:rPr>
                <w:rFonts w:hint="eastAsia" w:ascii="仿宋" w:hAnsi="仿宋" w:eastAsia="仿宋" w:cs="仿宋"/>
                <w:color w:val="000000" w:themeColor="text1"/>
                <w:kern w:val="0"/>
                <w:sz w:val="21"/>
                <w:szCs w:val="21"/>
                <w:lang w:bidi="ar"/>
                <w14:textFill>
                  <w14:solidFill>
                    <w14:schemeClr w14:val="tx1"/>
                  </w14:solidFill>
                </w14:textFill>
              </w:rPr>
              <w:t>ntrepreneurship</w:t>
            </w:r>
          </w:p>
        </w:tc>
        <w:tc>
          <w:tcPr>
            <w:tcW w:w="859" w:type="pct"/>
            <w:vAlign w:val="center"/>
          </w:tcPr>
          <w:p w14:paraId="023395F0">
            <w:pPr>
              <w:keepNext w:val="0"/>
              <w:keepLines w:val="0"/>
              <w:widowControl/>
              <w:suppressLineNumbers w:val="0"/>
              <w:adjustRightInd w:val="0"/>
              <w:snapToGrid w:val="0"/>
              <w:spacing w:before="0" w:beforeAutospacing="0" w:after="0" w:afterAutospacing="0"/>
              <w:ind w:left="0" w:leftChars="0" w:right="0" w:rightChars="0"/>
              <w:jc w:val="center"/>
              <w:rPr>
                <w:rFonts w:hint="eastAsia" w:ascii="仿宋" w:hAnsi="仿宋" w:eastAsia="仿宋" w:cs="仿宋"/>
                <w:color w:val="000000" w:themeColor="text1"/>
                <w:kern w:val="0"/>
                <w:sz w:val="21"/>
                <w:szCs w:val="21"/>
                <w:lang w:val="en-US" w:eastAsia="zh-CN" w:bidi="ar"/>
                <w14:textFill>
                  <w14:solidFill>
                    <w14:schemeClr w14:val="tx1"/>
                  </w14:solidFill>
                </w14:textFill>
              </w:rPr>
            </w:pPr>
            <w:r>
              <w:rPr>
                <w:rFonts w:hint="eastAsia" w:ascii="仿宋" w:hAnsi="仿宋" w:eastAsia="仿宋" w:cs="仿宋"/>
                <w:color w:val="000000" w:themeColor="text1"/>
                <w:kern w:val="0"/>
                <w:sz w:val="21"/>
                <w:szCs w:val="21"/>
                <w:lang w:val="en-US" w:eastAsia="zh-CN" w:bidi="ar"/>
                <w14:textFill>
                  <w14:solidFill>
                    <w14:schemeClr w14:val="tx1"/>
                  </w14:solidFill>
                </w14:textFill>
              </w:rPr>
              <w:t>通识课程</w:t>
            </w:r>
          </w:p>
        </w:tc>
        <w:tc>
          <w:tcPr>
            <w:tcW w:w="821" w:type="pct"/>
            <w:vAlign w:val="center"/>
          </w:tcPr>
          <w:p w14:paraId="6BC50C96">
            <w:pPr>
              <w:spacing w:line="360" w:lineRule="auto"/>
              <w:jc w:val="center"/>
              <w:rPr>
                <w:rFonts w:hint="eastAsia" w:ascii="仿宋" w:hAnsi="仿宋" w:eastAsia="仿宋" w:cs="仿宋"/>
                <w:color w:val="000000" w:themeColor="text1"/>
                <w:sz w:val="21"/>
                <w:szCs w:val="21"/>
                <w:vertAlign w:val="baseline"/>
                <w:lang w:val="en-US" w:eastAsia="zh-CN"/>
                <w14:textFill>
                  <w14:solidFill>
                    <w14:schemeClr w14:val="tx1"/>
                  </w14:solidFill>
                </w14:textFill>
              </w:rPr>
            </w:pPr>
            <w:r>
              <w:rPr>
                <w:rFonts w:hint="eastAsia" w:ascii="仿宋" w:hAnsi="仿宋" w:eastAsia="仿宋" w:cs="仿宋"/>
                <w:color w:val="000000" w:themeColor="text1"/>
                <w:sz w:val="21"/>
                <w:szCs w:val="21"/>
                <w:vertAlign w:val="baseline"/>
                <w:lang w:val="en-US" w:eastAsia="zh-CN"/>
                <w14:textFill>
                  <w14:solidFill>
                    <w14:schemeClr w14:val="tx1"/>
                  </w14:solidFill>
                </w14:textFill>
              </w:rPr>
              <w:t>选修</w:t>
            </w:r>
          </w:p>
        </w:tc>
        <w:tc>
          <w:tcPr>
            <w:tcW w:w="366" w:type="pct"/>
            <w:vAlign w:val="center"/>
          </w:tcPr>
          <w:p w14:paraId="3DF92794">
            <w:pPr>
              <w:spacing w:line="360" w:lineRule="auto"/>
              <w:jc w:val="center"/>
              <w:rPr>
                <w:rFonts w:hint="eastAsia" w:ascii="仿宋" w:hAnsi="仿宋" w:eastAsia="仿宋" w:cs="仿宋"/>
                <w:color w:val="000000" w:themeColor="text1"/>
                <w:sz w:val="21"/>
                <w:szCs w:val="21"/>
                <w:vertAlign w:val="baseline"/>
                <w:lang w:val="en-US" w:eastAsia="zh-CN"/>
                <w14:textFill>
                  <w14:solidFill>
                    <w14:schemeClr w14:val="tx1"/>
                  </w14:solidFill>
                </w14:textFill>
              </w:rPr>
            </w:pPr>
            <w:r>
              <w:rPr>
                <w:rFonts w:hint="eastAsia" w:ascii="仿宋" w:hAnsi="仿宋" w:eastAsia="仿宋" w:cs="仿宋"/>
                <w:color w:val="000000" w:themeColor="text1"/>
                <w:sz w:val="21"/>
                <w:szCs w:val="21"/>
                <w:vertAlign w:val="baseline"/>
                <w:lang w:val="en-US" w:eastAsia="zh-CN"/>
                <w14:textFill>
                  <w14:solidFill>
                    <w14:schemeClr w14:val="tx1"/>
                  </w14:solidFill>
                </w14:textFill>
              </w:rPr>
              <w:t>2</w:t>
            </w:r>
          </w:p>
        </w:tc>
        <w:tc>
          <w:tcPr>
            <w:tcW w:w="422" w:type="pct"/>
            <w:vAlign w:val="center"/>
          </w:tcPr>
          <w:p w14:paraId="29EFB443">
            <w:pPr>
              <w:spacing w:line="360" w:lineRule="auto"/>
              <w:jc w:val="center"/>
              <w:rPr>
                <w:rFonts w:hint="eastAsia" w:ascii="仿宋" w:hAnsi="仿宋" w:eastAsia="仿宋" w:cs="仿宋"/>
                <w:color w:val="000000" w:themeColor="text1"/>
                <w:sz w:val="21"/>
                <w:szCs w:val="21"/>
                <w:vertAlign w:val="baseline"/>
                <w:lang w:val="en-US" w:eastAsia="zh-CN"/>
                <w14:textFill>
                  <w14:solidFill>
                    <w14:schemeClr w14:val="tx1"/>
                  </w14:solidFill>
                </w14:textFill>
              </w:rPr>
            </w:pPr>
          </w:p>
        </w:tc>
        <w:tc>
          <w:tcPr>
            <w:tcW w:w="651" w:type="dxa"/>
            <w:vAlign w:val="center"/>
          </w:tcPr>
          <w:p w14:paraId="09BC9DAD">
            <w:pPr>
              <w:spacing w:line="360" w:lineRule="auto"/>
              <w:jc w:val="center"/>
              <w:rPr>
                <w:rFonts w:hint="eastAsia" w:ascii="仿宋" w:hAnsi="仿宋" w:eastAsia="仿宋" w:cs="仿宋"/>
                <w:color w:val="000000" w:themeColor="text1"/>
                <w:kern w:val="0"/>
                <w:sz w:val="21"/>
                <w:szCs w:val="21"/>
                <w:lang w:val="en-US" w:eastAsia="zh-CN"/>
                <w14:textFill>
                  <w14:solidFill>
                    <w14:schemeClr w14:val="tx1"/>
                  </w14:solidFill>
                </w14:textFill>
              </w:rPr>
            </w:pPr>
            <w:r>
              <w:rPr>
                <w:rFonts w:hint="eastAsia" w:ascii="仿宋" w:hAnsi="仿宋" w:eastAsia="仿宋" w:cs="仿宋"/>
                <w:color w:val="000000" w:themeColor="text1"/>
                <w:sz w:val="21"/>
                <w:szCs w:val="21"/>
                <w:vertAlign w:val="baseline"/>
                <w:lang w:val="en-US" w:eastAsia="zh-CN"/>
                <w14:textFill>
                  <w14:solidFill>
                    <w14:schemeClr w14:val="tx1"/>
                  </w14:solidFill>
                </w14:textFill>
              </w:rPr>
              <w:t>2</w:t>
            </w:r>
          </w:p>
        </w:tc>
        <w:tc>
          <w:tcPr>
            <w:tcW w:w="473" w:type="pct"/>
            <w:vAlign w:val="center"/>
          </w:tcPr>
          <w:p w14:paraId="5586984B">
            <w:pPr>
              <w:spacing w:line="360" w:lineRule="auto"/>
              <w:jc w:val="center"/>
              <w:rPr>
                <w:rFonts w:hint="eastAsia" w:ascii="仿宋" w:hAnsi="仿宋" w:eastAsia="仿宋" w:cs="仿宋"/>
                <w:kern w:val="0"/>
                <w:sz w:val="21"/>
                <w:szCs w:val="21"/>
              </w:rPr>
            </w:pPr>
          </w:p>
        </w:tc>
      </w:tr>
      <w:tr w14:paraId="3DDFA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7" w:type="pct"/>
            <w:vAlign w:val="center"/>
          </w:tcPr>
          <w:p w14:paraId="034362DE">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创新思维与现代化设计</w:t>
            </w:r>
          </w:p>
          <w:p w14:paraId="67163728">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 xml:space="preserve">Innovative </w:t>
            </w:r>
            <w:r>
              <w:rPr>
                <w:rFonts w:hint="eastAsia" w:ascii="仿宋" w:hAnsi="仿宋" w:eastAsia="仿宋" w:cs="仿宋"/>
                <w:color w:val="000000" w:themeColor="text1"/>
                <w:kern w:val="0"/>
                <w:sz w:val="21"/>
                <w:szCs w:val="21"/>
                <w:lang w:val="en-US" w:eastAsia="zh-CN" w:bidi="ar"/>
                <w14:textFill>
                  <w14:solidFill>
                    <w14:schemeClr w14:val="tx1"/>
                  </w14:solidFill>
                </w14:textFill>
              </w:rPr>
              <w:t>T</w:t>
            </w:r>
            <w:r>
              <w:rPr>
                <w:rFonts w:hint="eastAsia" w:ascii="仿宋" w:hAnsi="仿宋" w:eastAsia="仿宋" w:cs="仿宋"/>
                <w:color w:val="000000" w:themeColor="text1"/>
                <w:kern w:val="0"/>
                <w:sz w:val="21"/>
                <w:szCs w:val="21"/>
                <w:lang w:bidi="ar"/>
                <w14:textFill>
                  <w14:solidFill>
                    <w14:schemeClr w14:val="tx1"/>
                  </w14:solidFill>
                </w14:textFill>
              </w:rPr>
              <w:t xml:space="preserve">hinking and </w:t>
            </w:r>
            <w:r>
              <w:rPr>
                <w:rFonts w:hint="eastAsia" w:ascii="仿宋" w:hAnsi="仿宋" w:eastAsia="仿宋" w:cs="仿宋"/>
                <w:color w:val="000000" w:themeColor="text1"/>
                <w:kern w:val="0"/>
                <w:sz w:val="21"/>
                <w:szCs w:val="21"/>
                <w:lang w:val="en-US" w:eastAsia="zh-CN" w:bidi="ar"/>
                <w14:textFill>
                  <w14:solidFill>
                    <w14:schemeClr w14:val="tx1"/>
                  </w14:solidFill>
                </w14:textFill>
              </w:rPr>
              <w:t>M</w:t>
            </w:r>
            <w:r>
              <w:rPr>
                <w:rFonts w:hint="eastAsia" w:ascii="仿宋" w:hAnsi="仿宋" w:eastAsia="仿宋" w:cs="仿宋"/>
                <w:color w:val="000000" w:themeColor="text1"/>
                <w:kern w:val="0"/>
                <w:sz w:val="21"/>
                <w:szCs w:val="21"/>
                <w:lang w:bidi="ar"/>
                <w14:textFill>
                  <w14:solidFill>
                    <w14:schemeClr w14:val="tx1"/>
                  </w14:solidFill>
                </w14:textFill>
              </w:rPr>
              <w:t xml:space="preserve">odern </w:t>
            </w:r>
            <w:r>
              <w:rPr>
                <w:rFonts w:hint="eastAsia" w:ascii="仿宋" w:hAnsi="仿宋" w:eastAsia="仿宋" w:cs="仿宋"/>
                <w:color w:val="000000" w:themeColor="text1"/>
                <w:kern w:val="0"/>
                <w:sz w:val="21"/>
                <w:szCs w:val="21"/>
                <w:lang w:val="en-US" w:eastAsia="zh-CN" w:bidi="ar"/>
                <w14:textFill>
                  <w14:solidFill>
                    <w14:schemeClr w14:val="tx1"/>
                  </w14:solidFill>
                </w14:textFill>
              </w:rPr>
              <w:t>D</w:t>
            </w:r>
            <w:r>
              <w:rPr>
                <w:rFonts w:hint="eastAsia" w:ascii="仿宋" w:hAnsi="仿宋" w:eastAsia="仿宋" w:cs="仿宋"/>
                <w:color w:val="000000" w:themeColor="text1"/>
                <w:kern w:val="0"/>
                <w:sz w:val="21"/>
                <w:szCs w:val="21"/>
                <w:lang w:bidi="ar"/>
                <w14:textFill>
                  <w14:solidFill>
                    <w14:schemeClr w14:val="tx1"/>
                  </w14:solidFill>
                </w14:textFill>
              </w:rPr>
              <w:t>esign</w:t>
            </w:r>
          </w:p>
        </w:tc>
        <w:tc>
          <w:tcPr>
            <w:tcW w:w="859" w:type="pct"/>
            <w:vAlign w:val="center"/>
          </w:tcPr>
          <w:p w14:paraId="4A10467A">
            <w:pPr>
              <w:keepNext w:val="0"/>
              <w:keepLines w:val="0"/>
              <w:widowControl/>
              <w:suppressLineNumbers w:val="0"/>
              <w:adjustRightInd w:val="0"/>
              <w:snapToGrid w:val="0"/>
              <w:spacing w:before="0" w:beforeAutospacing="0" w:after="0" w:afterAutospacing="0"/>
              <w:ind w:left="0" w:leftChars="0" w:right="0" w:rightChars="0"/>
              <w:jc w:val="center"/>
              <w:rPr>
                <w:rFonts w:hint="eastAsia" w:ascii="仿宋" w:hAnsi="仿宋" w:eastAsia="仿宋" w:cs="仿宋"/>
                <w:color w:val="000000" w:themeColor="text1"/>
                <w:kern w:val="0"/>
                <w:sz w:val="21"/>
                <w:szCs w:val="21"/>
                <w:lang w:val="en-US" w:eastAsia="zh-CN" w:bidi="ar"/>
                <w14:textFill>
                  <w14:solidFill>
                    <w14:schemeClr w14:val="tx1"/>
                  </w14:solidFill>
                </w14:textFill>
              </w:rPr>
            </w:pPr>
            <w:r>
              <w:rPr>
                <w:rFonts w:hint="eastAsia" w:ascii="仿宋" w:hAnsi="仿宋" w:eastAsia="仿宋" w:cs="仿宋"/>
                <w:color w:val="000000" w:themeColor="text1"/>
                <w:kern w:val="0"/>
                <w:sz w:val="21"/>
                <w:szCs w:val="21"/>
                <w:lang w:val="en-US" w:eastAsia="zh-CN" w:bidi="ar"/>
                <w14:textFill>
                  <w14:solidFill>
                    <w14:schemeClr w14:val="tx1"/>
                  </w14:solidFill>
                </w14:textFill>
              </w:rPr>
              <w:t>通识课程</w:t>
            </w:r>
          </w:p>
        </w:tc>
        <w:tc>
          <w:tcPr>
            <w:tcW w:w="821" w:type="pct"/>
            <w:vAlign w:val="center"/>
          </w:tcPr>
          <w:p w14:paraId="631A4E1C">
            <w:pPr>
              <w:spacing w:line="360" w:lineRule="auto"/>
              <w:jc w:val="center"/>
              <w:rPr>
                <w:rFonts w:hint="eastAsia" w:ascii="仿宋" w:hAnsi="仿宋" w:eastAsia="仿宋" w:cs="仿宋"/>
                <w:color w:val="000000" w:themeColor="text1"/>
                <w:sz w:val="21"/>
                <w:szCs w:val="21"/>
                <w:vertAlign w:val="baseline"/>
                <w:lang w:val="en-US" w:eastAsia="zh-CN"/>
                <w14:textFill>
                  <w14:solidFill>
                    <w14:schemeClr w14:val="tx1"/>
                  </w14:solidFill>
                </w14:textFill>
              </w:rPr>
            </w:pPr>
            <w:r>
              <w:rPr>
                <w:rFonts w:hint="eastAsia" w:ascii="仿宋" w:hAnsi="仿宋" w:eastAsia="仿宋" w:cs="仿宋"/>
                <w:color w:val="000000" w:themeColor="text1"/>
                <w:sz w:val="21"/>
                <w:szCs w:val="21"/>
                <w:vertAlign w:val="baseline"/>
                <w:lang w:val="en-US" w:eastAsia="zh-CN"/>
                <w14:textFill>
                  <w14:solidFill>
                    <w14:schemeClr w14:val="tx1"/>
                  </w14:solidFill>
                </w14:textFill>
              </w:rPr>
              <w:t>选修</w:t>
            </w:r>
          </w:p>
        </w:tc>
        <w:tc>
          <w:tcPr>
            <w:tcW w:w="366" w:type="pct"/>
            <w:vAlign w:val="center"/>
          </w:tcPr>
          <w:p w14:paraId="7D8E84A6">
            <w:pPr>
              <w:spacing w:line="360" w:lineRule="auto"/>
              <w:jc w:val="center"/>
              <w:rPr>
                <w:rFonts w:hint="eastAsia" w:ascii="仿宋" w:hAnsi="仿宋" w:eastAsia="仿宋" w:cs="仿宋"/>
                <w:color w:val="000000" w:themeColor="text1"/>
                <w:sz w:val="21"/>
                <w:szCs w:val="21"/>
                <w:vertAlign w:val="baseline"/>
                <w:lang w:val="en-US" w:eastAsia="zh-CN"/>
                <w14:textFill>
                  <w14:solidFill>
                    <w14:schemeClr w14:val="tx1"/>
                  </w14:solidFill>
                </w14:textFill>
              </w:rPr>
            </w:pPr>
            <w:r>
              <w:rPr>
                <w:rFonts w:hint="eastAsia" w:ascii="仿宋" w:hAnsi="仿宋" w:eastAsia="仿宋" w:cs="仿宋"/>
                <w:color w:val="000000" w:themeColor="text1"/>
                <w:sz w:val="21"/>
                <w:szCs w:val="21"/>
                <w:vertAlign w:val="baseline"/>
                <w:lang w:val="en-US" w:eastAsia="zh-CN"/>
                <w14:textFill>
                  <w14:solidFill>
                    <w14:schemeClr w14:val="tx1"/>
                  </w14:solidFill>
                </w14:textFill>
              </w:rPr>
              <w:t>2</w:t>
            </w:r>
          </w:p>
        </w:tc>
        <w:tc>
          <w:tcPr>
            <w:tcW w:w="422" w:type="pct"/>
            <w:vAlign w:val="center"/>
          </w:tcPr>
          <w:p w14:paraId="0BE7D608">
            <w:pPr>
              <w:spacing w:line="360" w:lineRule="auto"/>
              <w:jc w:val="center"/>
              <w:rPr>
                <w:rFonts w:hint="eastAsia" w:ascii="仿宋" w:hAnsi="仿宋" w:eastAsia="仿宋" w:cs="仿宋"/>
                <w:color w:val="000000" w:themeColor="text1"/>
                <w:sz w:val="21"/>
                <w:szCs w:val="21"/>
                <w:vertAlign w:val="baseline"/>
                <w:lang w:val="en-US" w:eastAsia="zh-CN"/>
                <w14:textFill>
                  <w14:solidFill>
                    <w14:schemeClr w14:val="tx1"/>
                  </w14:solidFill>
                </w14:textFill>
              </w:rPr>
            </w:pPr>
          </w:p>
        </w:tc>
        <w:tc>
          <w:tcPr>
            <w:tcW w:w="651" w:type="dxa"/>
            <w:vAlign w:val="center"/>
          </w:tcPr>
          <w:p w14:paraId="2960702F">
            <w:pPr>
              <w:spacing w:line="360" w:lineRule="auto"/>
              <w:jc w:val="center"/>
              <w:rPr>
                <w:rFonts w:hint="eastAsia" w:ascii="仿宋" w:hAnsi="仿宋" w:eastAsia="仿宋" w:cs="仿宋"/>
                <w:color w:val="000000" w:themeColor="text1"/>
                <w:kern w:val="2"/>
                <w:sz w:val="21"/>
                <w:szCs w:val="21"/>
                <w:vertAlign w:val="baseline"/>
                <w:lang w:val="en-US" w:eastAsia="zh-CN" w:bidi="ar-SA"/>
                <w14:textFill>
                  <w14:solidFill>
                    <w14:schemeClr w14:val="tx1"/>
                  </w14:solidFill>
                </w14:textFill>
              </w:rPr>
            </w:pPr>
            <w:r>
              <w:rPr>
                <w:rFonts w:hint="eastAsia" w:ascii="仿宋" w:hAnsi="仿宋" w:eastAsia="仿宋" w:cs="仿宋"/>
                <w:color w:val="000000" w:themeColor="text1"/>
                <w:sz w:val="21"/>
                <w:szCs w:val="21"/>
                <w:vertAlign w:val="baseline"/>
                <w:lang w:val="en-US" w:eastAsia="zh-CN"/>
                <w14:textFill>
                  <w14:solidFill>
                    <w14:schemeClr w14:val="tx1"/>
                  </w14:solidFill>
                </w14:textFill>
              </w:rPr>
              <w:t>2</w:t>
            </w:r>
          </w:p>
        </w:tc>
        <w:tc>
          <w:tcPr>
            <w:tcW w:w="473" w:type="pct"/>
            <w:vAlign w:val="center"/>
          </w:tcPr>
          <w:p w14:paraId="057F8F57">
            <w:pPr>
              <w:spacing w:line="360" w:lineRule="auto"/>
              <w:jc w:val="center"/>
              <w:rPr>
                <w:rFonts w:hint="eastAsia" w:ascii="仿宋" w:hAnsi="仿宋" w:eastAsia="仿宋" w:cs="仿宋"/>
                <w:kern w:val="0"/>
                <w:sz w:val="21"/>
                <w:szCs w:val="21"/>
              </w:rPr>
            </w:pPr>
          </w:p>
        </w:tc>
      </w:tr>
      <w:tr w14:paraId="72C44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7" w:type="pct"/>
            <w:vAlign w:val="center"/>
          </w:tcPr>
          <w:p w14:paraId="2B317A20">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bidi="ar"/>
                <w14:textFill>
                  <w14:solidFill>
                    <w14:schemeClr w14:val="tx1"/>
                  </w14:solidFill>
                </w14:textFill>
              </w:rPr>
              <w:t>创业实战</w:t>
            </w:r>
          </w:p>
          <w:p w14:paraId="127C1087">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000000" w:themeColor="text1"/>
                <w:kern w:val="0"/>
                <w:sz w:val="21"/>
                <w:szCs w:val="21"/>
                <w:lang w:bidi="ar"/>
                <w14:textFill>
                  <w14:solidFill>
                    <w14:schemeClr w14:val="tx1"/>
                  </w14:solidFill>
                </w14:textFill>
              </w:rPr>
            </w:pPr>
            <w:r>
              <w:rPr>
                <w:rFonts w:hint="eastAsia" w:ascii="仿宋" w:hAnsi="仿宋" w:eastAsia="仿宋" w:cs="仿宋"/>
                <w:color w:val="000000" w:themeColor="text1"/>
                <w:kern w:val="0"/>
                <w:sz w:val="21"/>
                <w:szCs w:val="21"/>
                <w:lang w:val="en-US" w:eastAsia="zh-CN" w:bidi="ar"/>
                <w14:textFill>
                  <w14:solidFill>
                    <w14:schemeClr w14:val="tx1"/>
                  </w14:solidFill>
                </w14:textFill>
              </w:rPr>
              <w:t>E</w:t>
            </w:r>
            <w:r>
              <w:rPr>
                <w:rFonts w:hint="eastAsia" w:ascii="仿宋" w:hAnsi="仿宋" w:eastAsia="仿宋" w:cs="仿宋"/>
                <w:color w:val="000000" w:themeColor="text1"/>
                <w:kern w:val="0"/>
                <w:sz w:val="21"/>
                <w:szCs w:val="21"/>
                <w:lang w:bidi="ar"/>
                <w14:textFill>
                  <w14:solidFill>
                    <w14:schemeClr w14:val="tx1"/>
                  </w14:solidFill>
                </w14:textFill>
              </w:rPr>
              <w:t xml:space="preserve">ntrepreneurship </w:t>
            </w:r>
            <w:r>
              <w:rPr>
                <w:rFonts w:hint="eastAsia" w:ascii="仿宋" w:hAnsi="仿宋" w:eastAsia="仿宋" w:cs="仿宋"/>
                <w:color w:val="000000" w:themeColor="text1"/>
                <w:kern w:val="0"/>
                <w:sz w:val="21"/>
                <w:szCs w:val="21"/>
                <w:lang w:val="en-US" w:eastAsia="zh-CN" w:bidi="ar"/>
                <w14:textFill>
                  <w14:solidFill>
                    <w14:schemeClr w14:val="tx1"/>
                  </w14:solidFill>
                </w14:textFill>
              </w:rPr>
              <w:t>I</w:t>
            </w:r>
            <w:r>
              <w:rPr>
                <w:rFonts w:hint="eastAsia" w:ascii="仿宋" w:hAnsi="仿宋" w:eastAsia="仿宋" w:cs="仿宋"/>
                <w:color w:val="000000" w:themeColor="text1"/>
                <w:kern w:val="0"/>
                <w:sz w:val="21"/>
                <w:szCs w:val="21"/>
                <w:lang w:bidi="ar"/>
                <w14:textFill>
                  <w14:solidFill>
                    <w14:schemeClr w14:val="tx1"/>
                  </w14:solidFill>
                </w14:textFill>
              </w:rPr>
              <w:t xml:space="preserve">n </w:t>
            </w:r>
            <w:r>
              <w:rPr>
                <w:rFonts w:hint="eastAsia" w:ascii="仿宋" w:hAnsi="仿宋" w:eastAsia="仿宋" w:cs="仿宋"/>
                <w:color w:val="000000" w:themeColor="text1"/>
                <w:kern w:val="0"/>
                <w:sz w:val="21"/>
                <w:szCs w:val="21"/>
                <w:lang w:val="en-US" w:eastAsia="zh-CN" w:bidi="ar"/>
                <w14:textFill>
                  <w14:solidFill>
                    <w14:schemeClr w14:val="tx1"/>
                  </w14:solidFill>
                </w14:textFill>
              </w:rPr>
              <w:t>A</w:t>
            </w:r>
            <w:r>
              <w:rPr>
                <w:rFonts w:hint="eastAsia" w:ascii="仿宋" w:hAnsi="仿宋" w:eastAsia="仿宋" w:cs="仿宋"/>
                <w:color w:val="000000" w:themeColor="text1"/>
                <w:kern w:val="0"/>
                <w:sz w:val="21"/>
                <w:szCs w:val="21"/>
                <w:lang w:bidi="ar"/>
                <w14:textFill>
                  <w14:solidFill>
                    <w14:schemeClr w14:val="tx1"/>
                  </w14:solidFill>
                </w14:textFill>
              </w:rPr>
              <w:t xml:space="preserve">ction </w:t>
            </w:r>
          </w:p>
        </w:tc>
        <w:tc>
          <w:tcPr>
            <w:tcW w:w="859" w:type="pct"/>
            <w:vAlign w:val="center"/>
          </w:tcPr>
          <w:p w14:paraId="453A1CD8">
            <w:pPr>
              <w:keepNext w:val="0"/>
              <w:keepLines w:val="0"/>
              <w:widowControl/>
              <w:suppressLineNumbers w:val="0"/>
              <w:adjustRightInd w:val="0"/>
              <w:snapToGrid w:val="0"/>
              <w:spacing w:before="0" w:beforeAutospacing="0" w:after="0" w:afterAutospacing="0"/>
              <w:ind w:left="0" w:leftChars="0" w:right="0" w:rightChars="0"/>
              <w:jc w:val="center"/>
              <w:rPr>
                <w:rFonts w:hint="eastAsia" w:ascii="仿宋" w:hAnsi="仿宋" w:eastAsia="仿宋" w:cs="仿宋"/>
                <w:color w:val="000000" w:themeColor="text1"/>
                <w:kern w:val="0"/>
                <w:sz w:val="21"/>
                <w:szCs w:val="21"/>
                <w:lang w:val="en-US" w:eastAsia="zh-CN" w:bidi="ar"/>
                <w14:textFill>
                  <w14:solidFill>
                    <w14:schemeClr w14:val="tx1"/>
                  </w14:solidFill>
                </w14:textFill>
              </w:rPr>
            </w:pPr>
            <w:r>
              <w:rPr>
                <w:rFonts w:hint="eastAsia" w:ascii="仿宋" w:hAnsi="仿宋" w:eastAsia="仿宋" w:cs="仿宋"/>
                <w:color w:val="000000" w:themeColor="text1"/>
                <w:kern w:val="0"/>
                <w:sz w:val="21"/>
                <w:szCs w:val="21"/>
                <w:lang w:val="en-US" w:eastAsia="zh-CN" w:bidi="ar"/>
                <w14:textFill>
                  <w14:solidFill>
                    <w14:schemeClr w14:val="tx1"/>
                  </w14:solidFill>
                </w14:textFill>
              </w:rPr>
              <w:t>通识课程</w:t>
            </w:r>
          </w:p>
        </w:tc>
        <w:tc>
          <w:tcPr>
            <w:tcW w:w="821" w:type="pct"/>
            <w:vAlign w:val="center"/>
          </w:tcPr>
          <w:p w14:paraId="51309C14">
            <w:pPr>
              <w:spacing w:line="360" w:lineRule="auto"/>
              <w:jc w:val="center"/>
              <w:rPr>
                <w:rFonts w:hint="eastAsia" w:ascii="仿宋" w:hAnsi="仿宋" w:eastAsia="仿宋" w:cs="仿宋"/>
                <w:color w:val="000000" w:themeColor="text1"/>
                <w:sz w:val="21"/>
                <w:szCs w:val="21"/>
                <w:vertAlign w:val="baseline"/>
                <w:lang w:val="en-US" w:eastAsia="zh-CN"/>
                <w14:textFill>
                  <w14:solidFill>
                    <w14:schemeClr w14:val="tx1"/>
                  </w14:solidFill>
                </w14:textFill>
              </w:rPr>
            </w:pPr>
            <w:r>
              <w:rPr>
                <w:rFonts w:hint="eastAsia" w:ascii="仿宋" w:hAnsi="仿宋" w:eastAsia="仿宋" w:cs="仿宋"/>
                <w:color w:val="000000" w:themeColor="text1"/>
                <w:sz w:val="21"/>
                <w:szCs w:val="21"/>
                <w:vertAlign w:val="baseline"/>
                <w:lang w:val="en-US" w:eastAsia="zh-CN"/>
                <w14:textFill>
                  <w14:solidFill>
                    <w14:schemeClr w14:val="tx1"/>
                  </w14:solidFill>
                </w14:textFill>
              </w:rPr>
              <w:t>选修</w:t>
            </w:r>
          </w:p>
        </w:tc>
        <w:tc>
          <w:tcPr>
            <w:tcW w:w="366" w:type="pct"/>
            <w:vAlign w:val="center"/>
          </w:tcPr>
          <w:p w14:paraId="13D769C4">
            <w:pPr>
              <w:spacing w:line="360" w:lineRule="auto"/>
              <w:jc w:val="center"/>
              <w:rPr>
                <w:rFonts w:hint="eastAsia" w:ascii="仿宋" w:hAnsi="仿宋" w:eastAsia="仿宋" w:cs="仿宋"/>
                <w:color w:val="000000" w:themeColor="text1"/>
                <w:sz w:val="21"/>
                <w:szCs w:val="21"/>
                <w:vertAlign w:val="baseline"/>
                <w:lang w:val="en-US" w:eastAsia="zh-CN"/>
                <w14:textFill>
                  <w14:solidFill>
                    <w14:schemeClr w14:val="tx1"/>
                  </w14:solidFill>
                </w14:textFill>
              </w:rPr>
            </w:pPr>
            <w:r>
              <w:rPr>
                <w:rFonts w:hint="eastAsia" w:ascii="仿宋" w:hAnsi="仿宋" w:eastAsia="仿宋" w:cs="仿宋"/>
                <w:color w:val="000000" w:themeColor="text1"/>
                <w:sz w:val="21"/>
                <w:szCs w:val="21"/>
                <w:vertAlign w:val="baseline"/>
                <w:lang w:val="en-US" w:eastAsia="zh-CN"/>
                <w14:textFill>
                  <w14:solidFill>
                    <w14:schemeClr w14:val="tx1"/>
                  </w14:solidFill>
                </w14:textFill>
              </w:rPr>
              <w:t>2</w:t>
            </w:r>
          </w:p>
        </w:tc>
        <w:tc>
          <w:tcPr>
            <w:tcW w:w="422" w:type="pct"/>
            <w:vAlign w:val="center"/>
          </w:tcPr>
          <w:p w14:paraId="4375EB17">
            <w:pPr>
              <w:spacing w:line="360" w:lineRule="auto"/>
              <w:jc w:val="center"/>
              <w:rPr>
                <w:rFonts w:hint="eastAsia" w:ascii="仿宋" w:hAnsi="仿宋" w:eastAsia="仿宋" w:cs="仿宋"/>
                <w:color w:val="000000" w:themeColor="text1"/>
                <w:sz w:val="21"/>
                <w:szCs w:val="21"/>
                <w:vertAlign w:val="baseline"/>
                <w:lang w:val="en-US" w:eastAsia="zh-CN"/>
                <w14:textFill>
                  <w14:solidFill>
                    <w14:schemeClr w14:val="tx1"/>
                  </w14:solidFill>
                </w14:textFill>
              </w:rPr>
            </w:pPr>
          </w:p>
        </w:tc>
        <w:tc>
          <w:tcPr>
            <w:tcW w:w="651" w:type="dxa"/>
            <w:vAlign w:val="center"/>
          </w:tcPr>
          <w:p w14:paraId="23EBF64B">
            <w:pPr>
              <w:spacing w:line="360" w:lineRule="auto"/>
              <w:jc w:val="center"/>
              <w:rPr>
                <w:rFonts w:hint="eastAsia" w:ascii="仿宋" w:hAnsi="仿宋" w:eastAsia="仿宋" w:cs="仿宋"/>
                <w:color w:val="000000" w:themeColor="text1"/>
                <w:kern w:val="2"/>
                <w:sz w:val="21"/>
                <w:szCs w:val="21"/>
                <w:vertAlign w:val="baseline"/>
                <w:lang w:val="en-US" w:eastAsia="zh-CN" w:bidi="ar-SA"/>
                <w14:textFill>
                  <w14:solidFill>
                    <w14:schemeClr w14:val="tx1"/>
                  </w14:solidFill>
                </w14:textFill>
              </w:rPr>
            </w:pPr>
            <w:r>
              <w:rPr>
                <w:rFonts w:hint="eastAsia" w:ascii="仿宋" w:hAnsi="仿宋" w:eastAsia="仿宋" w:cs="仿宋"/>
                <w:color w:val="000000" w:themeColor="text1"/>
                <w:sz w:val="21"/>
                <w:szCs w:val="21"/>
                <w:vertAlign w:val="baseline"/>
                <w:lang w:val="en-US" w:eastAsia="zh-CN"/>
                <w14:textFill>
                  <w14:solidFill>
                    <w14:schemeClr w14:val="tx1"/>
                  </w14:solidFill>
                </w14:textFill>
              </w:rPr>
              <w:t>2</w:t>
            </w:r>
          </w:p>
        </w:tc>
        <w:tc>
          <w:tcPr>
            <w:tcW w:w="473" w:type="pct"/>
            <w:vAlign w:val="center"/>
          </w:tcPr>
          <w:p w14:paraId="5346D763">
            <w:pPr>
              <w:spacing w:line="360" w:lineRule="auto"/>
              <w:jc w:val="center"/>
              <w:rPr>
                <w:rFonts w:hint="eastAsia" w:ascii="仿宋" w:hAnsi="仿宋" w:eastAsia="仿宋" w:cs="仿宋"/>
                <w:kern w:val="0"/>
                <w:sz w:val="21"/>
                <w:szCs w:val="21"/>
              </w:rPr>
            </w:pPr>
          </w:p>
        </w:tc>
      </w:tr>
    </w:tbl>
    <w:p w14:paraId="7992413E">
      <w:pPr>
        <w:bidi w:val="0"/>
        <w:rPr>
          <w:rFonts w:hint="eastAsia"/>
        </w:rPr>
      </w:pPr>
    </w:p>
    <w:p w14:paraId="7F4AC184">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5.通识素养模块</w:t>
      </w:r>
    </w:p>
    <w:p w14:paraId="67463162">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 xml:space="preserve">通识素养模块主要包含国际视野培养课程群（海外教育概况、国际交往礼仪、中外文化比较等），写作与沟通课程群（应用文写作、学术论文写作、管理沟通等），美学艺术课程群（艺术鉴赏和评论类及艺术体验和实践类），信息技术素养课程群（办公自动化、平面设计、数据挖掘、分析与可视化等）。学生应在通识素养模块中选修 </w:t>
      </w:r>
      <w:r>
        <w:rPr>
          <w:rFonts w:hint="default" w:ascii="仿宋_GB2312" w:hAnsi="仿宋_GB2312" w:eastAsia="仿宋_GB2312" w:cs="仿宋_GB2312"/>
          <w:sz w:val="30"/>
          <w:szCs w:val="30"/>
          <w:lang w:val="en-US" w:eastAsia="zh-CN"/>
        </w:rPr>
        <w:t xml:space="preserve">6 </w:t>
      </w:r>
      <w:r>
        <w:rPr>
          <w:rFonts w:hint="eastAsia" w:ascii="仿宋_GB2312" w:hAnsi="仿宋_GB2312" w:eastAsia="仿宋_GB2312" w:cs="仿宋_GB2312"/>
          <w:sz w:val="30"/>
          <w:szCs w:val="30"/>
          <w:lang w:val="en-US" w:eastAsia="zh-CN"/>
        </w:rPr>
        <w:t>学分的课程，其中公共艺术类取得2个学分方可毕业。美学和艺术史论类作为必修课程至少取得1个学分，剩余1学分学生可在艺术鉴赏和评论类、艺术体验和实践类自主选择。鼓励学生自主学习，根据课程性质，充分利用英华在线平台为学生提供丰富的在线课程资源，供学生选修。</w:t>
      </w:r>
    </w:p>
    <w:p w14:paraId="7917BCD5">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表5  通识素养课程修读要求</w:t>
      </w:r>
    </w:p>
    <w:tbl>
      <w:tblPr>
        <w:tblStyle w:val="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1"/>
        <w:gridCol w:w="2807"/>
        <w:gridCol w:w="2673"/>
        <w:gridCol w:w="1196"/>
      </w:tblGrid>
      <w:tr w14:paraId="4C763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blHeader/>
        </w:trPr>
        <w:tc>
          <w:tcPr>
            <w:tcW w:w="1314" w:type="pct"/>
            <w:vAlign w:val="center"/>
          </w:tcPr>
          <w:p w14:paraId="350570C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 w:hAnsi="仿宋" w:eastAsia="仿宋" w:cs="仿宋"/>
                <w:b/>
                <w:bCs/>
                <w:sz w:val="21"/>
                <w:szCs w:val="21"/>
                <w:vertAlign w:val="baseline"/>
                <w:lang w:val="en-US" w:eastAsia="zh-CN"/>
              </w:rPr>
            </w:pPr>
            <w:r>
              <w:rPr>
                <w:rFonts w:hint="eastAsia" w:ascii="仿宋" w:hAnsi="仿宋" w:eastAsia="仿宋" w:cs="仿宋"/>
                <w:b/>
                <w:bCs/>
                <w:sz w:val="21"/>
                <w:szCs w:val="21"/>
                <w:vertAlign w:val="baseline"/>
                <w:lang w:val="en-US" w:eastAsia="zh-CN"/>
              </w:rPr>
              <w:t>课程组</w:t>
            </w:r>
          </w:p>
        </w:tc>
        <w:tc>
          <w:tcPr>
            <w:tcW w:w="1549" w:type="pct"/>
            <w:vAlign w:val="center"/>
          </w:tcPr>
          <w:p w14:paraId="6DEF6D2F">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 w:hAnsi="仿宋" w:eastAsia="仿宋" w:cs="仿宋"/>
                <w:b/>
                <w:bCs/>
                <w:sz w:val="21"/>
                <w:szCs w:val="21"/>
                <w:vertAlign w:val="baseline"/>
                <w:lang w:val="en-US" w:eastAsia="zh-CN"/>
              </w:rPr>
            </w:pPr>
            <w:r>
              <w:rPr>
                <w:rFonts w:hint="eastAsia" w:ascii="仿宋" w:hAnsi="仿宋" w:eastAsia="仿宋" w:cs="仿宋"/>
                <w:b/>
                <w:bCs/>
                <w:sz w:val="21"/>
                <w:szCs w:val="21"/>
                <w:vertAlign w:val="baseline"/>
                <w:lang w:val="en-US" w:eastAsia="zh-CN"/>
              </w:rPr>
              <w:t>主要课程</w:t>
            </w:r>
          </w:p>
        </w:tc>
        <w:tc>
          <w:tcPr>
            <w:tcW w:w="1475" w:type="pct"/>
            <w:vAlign w:val="center"/>
          </w:tcPr>
          <w:p w14:paraId="4FC8C99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 w:hAnsi="仿宋" w:eastAsia="仿宋" w:cs="仿宋"/>
                <w:b/>
                <w:bCs/>
                <w:sz w:val="21"/>
                <w:szCs w:val="21"/>
                <w:vertAlign w:val="baseline"/>
                <w:lang w:val="en-US" w:eastAsia="zh-CN"/>
              </w:rPr>
            </w:pPr>
            <w:r>
              <w:rPr>
                <w:rFonts w:hint="eastAsia" w:ascii="仿宋" w:hAnsi="仿宋" w:eastAsia="仿宋" w:cs="仿宋"/>
                <w:b/>
                <w:bCs/>
                <w:sz w:val="21"/>
                <w:szCs w:val="21"/>
                <w:vertAlign w:val="baseline"/>
                <w:lang w:val="en-US" w:eastAsia="zh-CN"/>
              </w:rPr>
              <w:t>主要培养目标</w:t>
            </w:r>
          </w:p>
        </w:tc>
        <w:tc>
          <w:tcPr>
            <w:tcW w:w="660" w:type="pct"/>
            <w:vAlign w:val="center"/>
          </w:tcPr>
          <w:p w14:paraId="209D577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 w:hAnsi="仿宋" w:eastAsia="仿宋" w:cs="仿宋"/>
                <w:b/>
                <w:bCs/>
                <w:sz w:val="21"/>
                <w:szCs w:val="21"/>
                <w:vertAlign w:val="baseline"/>
                <w:lang w:val="en-US" w:eastAsia="zh-CN"/>
              </w:rPr>
            </w:pPr>
            <w:r>
              <w:rPr>
                <w:rFonts w:hint="eastAsia" w:ascii="仿宋" w:hAnsi="仿宋" w:eastAsia="仿宋" w:cs="仿宋"/>
                <w:b/>
                <w:bCs/>
                <w:sz w:val="21"/>
                <w:szCs w:val="21"/>
                <w:vertAlign w:val="baseline"/>
                <w:lang w:val="en-US" w:eastAsia="zh-CN"/>
              </w:rPr>
              <w:t>备注</w:t>
            </w:r>
          </w:p>
        </w:tc>
      </w:tr>
      <w:tr w14:paraId="2B14B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1314" w:type="pct"/>
            <w:vAlign w:val="center"/>
          </w:tcPr>
          <w:p w14:paraId="3EF13704">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000000"/>
                <w:kern w:val="0"/>
                <w:sz w:val="21"/>
                <w:szCs w:val="21"/>
                <w:lang w:bidi="ar"/>
              </w:rPr>
            </w:pPr>
            <w:r>
              <w:rPr>
                <w:rFonts w:hint="eastAsia" w:ascii="仿宋" w:hAnsi="仿宋" w:eastAsia="仿宋" w:cs="仿宋"/>
                <w:color w:val="000000"/>
                <w:kern w:val="0"/>
                <w:sz w:val="21"/>
                <w:szCs w:val="21"/>
                <w:lang w:bidi="ar"/>
              </w:rPr>
              <w:t>国际视野培养课程群</w:t>
            </w:r>
          </w:p>
          <w:p w14:paraId="63BEE8B9">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000000"/>
                <w:kern w:val="0"/>
                <w:sz w:val="21"/>
                <w:szCs w:val="21"/>
                <w:lang w:bidi="ar"/>
              </w:rPr>
            </w:pPr>
            <w:r>
              <w:rPr>
                <w:rFonts w:hint="eastAsia" w:ascii="仿宋" w:hAnsi="仿宋" w:eastAsia="仿宋" w:cs="仿宋"/>
                <w:color w:val="000000"/>
                <w:kern w:val="0"/>
                <w:sz w:val="21"/>
                <w:szCs w:val="21"/>
                <w:lang w:bidi="ar"/>
              </w:rPr>
              <w:t>International Vision Training Course Group</w:t>
            </w:r>
          </w:p>
        </w:tc>
        <w:tc>
          <w:tcPr>
            <w:tcW w:w="1549" w:type="pct"/>
            <w:vAlign w:val="center"/>
          </w:tcPr>
          <w:p w14:paraId="625C5EA0">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000000"/>
                <w:kern w:val="0"/>
                <w:sz w:val="21"/>
                <w:szCs w:val="21"/>
                <w:lang w:val="en-US" w:eastAsia="zh-CN" w:bidi="ar"/>
              </w:rPr>
            </w:pPr>
            <w:r>
              <w:rPr>
                <w:rFonts w:hint="eastAsia" w:ascii="仿宋" w:hAnsi="仿宋" w:eastAsia="仿宋" w:cs="仿宋"/>
                <w:color w:val="000000"/>
                <w:kern w:val="0"/>
                <w:sz w:val="21"/>
                <w:szCs w:val="21"/>
                <w:lang w:bidi="ar"/>
              </w:rPr>
              <w:t>海外教育概况、国际交往礼仪、中外文化比较</w:t>
            </w:r>
            <w:r>
              <w:rPr>
                <w:rFonts w:hint="eastAsia" w:ascii="仿宋" w:hAnsi="仿宋" w:eastAsia="仿宋" w:cs="仿宋"/>
                <w:color w:val="000000"/>
                <w:kern w:val="0"/>
                <w:sz w:val="21"/>
                <w:szCs w:val="21"/>
                <w:lang w:eastAsia="zh-CN" w:bidi="ar"/>
              </w:rPr>
              <w:t>、</w:t>
            </w:r>
            <w:r>
              <w:rPr>
                <w:rFonts w:hint="eastAsia" w:ascii="仿宋" w:hAnsi="仿宋" w:eastAsia="仿宋" w:cs="仿宋"/>
                <w:color w:val="000000"/>
                <w:kern w:val="0"/>
                <w:sz w:val="21"/>
                <w:szCs w:val="21"/>
                <w:lang w:bidi="ar"/>
              </w:rPr>
              <w:t>中国、东盟历史文化与社会发展</w:t>
            </w:r>
            <w:r>
              <w:rPr>
                <w:rFonts w:hint="eastAsia" w:ascii="仿宋" w:hAnsi="仿宋" w:eastAsia="仿宋" w:cs="仿宋"/>
                <w:color w:val="000000"/>
                <w:kern w:val="0"/>
                <w:sz w:val="21"/>
                <w:szCs w:val="21"/>
                <w:lang w:val="en-US" w:eastAsia="zh-CN" w:bidi="ar"/>
              </w:rPr>
              <w:t>等</w:t>
            </w:r>
          </w:p>
        </w:tc>
        <w:tc>
          <w:tcPr>
            <w:tcW w:w="1475" w:type="pct"/>
            <w:vAlign w:val="center"/>
          </w:tcPr>
          <w:p w14:paraId="743E3627">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000000"/>
                <w:kern w:val="0"/>
                <w:sz w:val="21"/>
                <w:szCs w:val="21"/>
                <w:lang w:val="en-US" w:eastAsia="zh-CN" w:bidi="ar"/>
              </w:rPr>
            </w:pPr>
            <w:r>
              <w:rPr>
                <w:rFonts w:hint="eastAsia" w:ascii="仿宋" w:hAnsi="仿宋" w:eastAsia="仿宋" w:cs="仿宋"/>
                <w:color w:val="000000"/>
                <w:kern w:val="0"/>
                <w:sz w:val="21"/>
                <w:szCs w:val="21"/>
                <w:lang w:val="en-US" w:eastAsia="zh-CN" w:bidi="ar"/>
              </w:rPr>
              <w:t>开拓学生国际视野、提高跨文化交流能力、以包容、发展的心态面对多元文化。</w:t>
            </w:r>
          </w:p>
        </w:tc>
        <w:tc>
          <w:tcPr>
            <w:tcW w:w="660" w:type="pct"/>
            <w:vMerge w:val="restart"/>
            <w:vAlign w:val="center"/>
          </w:tcPr>
          <w:p w14:paraId="3CD5D897">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000000"/>
                <w:kern w:val="0"/>
                <w:sz w:val="21"/>
                <w:szCs w:val="21"/>
                <w:lang w:bidi="ar"/>
              </w:rPr>
            </w:pPr>
            <w:r>
              <w:rPr>
                <w:rFonts w:hint="eastAsia" w:ascii="仿宋" w:hAnsi="仿宋" w:eastAsia="仿宋" w:cs="仿宋"/>
                <w:color w:val="000000"/>
                <w:kern w:val="0"/>
                <w:sz w:val="21"/>
                <w:szCs w:val="21"/>
                <w:lang w:bidi="ar"/>
              </w:rPr>
              <w:t>美学艺术课程群</w:t>
            </w:r>
            <w:r>
              <w:rPr>
                <w:rFonts w:hint="eastAsia" w:ascii="仿宋" w:hAnsi="仿宋" w:eastAsia="仿宋" w:cs="仿宋"/>
                <w:color w:val="000000"/>
                <w:kern w:val="0"/>
                <w:sz w:val="21"/>
                <w:szCs w:val="21"/>
                <w:lang w:val="en-US" w:eastAsia="zh-CN" w:bidi="ar"/>
              </w:rPr>
              <w:t>需修够2学分，其中美学和艺术史论类至少取得1个学分，详细课表见附件</w:t>
            </w:r>
          </w:p>
        </w:tc>
      </w:tr>
      <w:tr w14:paraId="45971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4" w:type="pct"/>
            <w:vAlign w:val="center"/>
          </w:tcPr>
          <w:p w14:paraId="59792DFC">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000000"/>
                <w:kern w:val="0"/>
                <w:sz w:val="21"/>
                <w:szCs w:val="21"/>
                <w:lang w:bidi="ar"/>
              </w:rPr>
            </w:pPr>
            <w:r>
              <w:rPr>
                <w:rFonts w:hint="eastAsia" w:ascii="仿宋" w:hAnsi="仿宋" w:eastAsia="仿宋" w:cs="仿宋"/>
                <w:color w:val="000000"/>
                <w:kern w:val="0"/>
                <w:sz w:val="21"/>
                <w:szCs w:val="21"/>
                <w:lang w:bidi="ar"/>
              </w:rPr>
              <w:t>写作与沟通课程群</w:t>
            </w:r>
          </w:p>
          <w:p w14:paraId="24AD8497">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000000"/>
                <w:kern w:val="0"/>
                <w:sz w:val="21"/>
                <w:szCs w:val="21"/>
                <w:lang w:bidi="ar"/>
              </w:rPr>
            </w:pPr>
            <w:r>
              <w:rPr>
                <w:rFonts w:hint="eastAsia" w:ascii="仿宋" w:hAnsi="仿宋" w:eastAsia="仿宋" w:cs="仿宋"/>
                <w:color w:val="000000"/>
                <w:kern w:val="0"/>
                <w:sz w:val="21"/>
                <w:szCs w:val="21"/>
                <w:lang w:bidi="ar"/>
              </w:rPr>
              <w:t>Writing and Communication Course Group</w:t>
            </w:r>
          </w:p>
        </w:tc>
        <w:tc>
          <w:tcPr>
            <w:tcW w:w="1549" w:type="pct"/>
            <w:vAlign w:val="center"/>
          </w:tcPr>
          <w:p w14:paraId="4CADCDA4">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000000"/>
                <w:kern w:val="0"/>
                <w:sz w:val="21"/>
                <w:szCs w:val="21"/>
                <w:lang w:val="en-US" w:eastAsia="zh-CN" w:bidi="ar"/>
              </w:rPr>
            </w:pPr>
            <w:r>
              <w:rPr>
                <w:rFonts w:hint="eastAsia" w:ascii="仿宋" w:hAnsi="仿宋" w:eastAsia="仿宋" w:cs="仿宋"/>
                <w:color w:val="000000"/>
                <w:kern w:val="0"/>
                <w:sz w:val="21"/>
                <w:szCs w:val="21"/>
                <w:lang w:val="en-US" w:eastAsia="zh-CN" w:bidi="ar"/>
              </w:rPr>
              <w:t>公文写作规范、应用写作技能与规范、毕业论文写作与答辩、逻辑思维与写作、沟通的艺术、演讲与口才训练等</w:t>
            </w:r>
          </w:p>
        </w:tc>
        <w:tc>
          <w:tcPr>
            <w:tcW w:w="1475" w:type="pct"/>
            <w:vAlign w:val="center"/>
          </w:tcPr>
          <w:p w14:paraId="5EE949A8">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000000"/>
                <w:kern w:val="0"/>
                <w:sz w:val="21"/>
                <w:szCs w:val="21"/>
                <w:lang w:val="en-US" w:eastAsia="zh-CN" w:bidi="ar"/>
              </w:rPr>
            </w:pPr>
            <w:r>
              <w:rPr>
                <w:rFonts w:hint="eastAsia" w:ascii="仿宋" w:hAnsi="仿宋" w:eastAsia="仿宋" w:cs="仿宋"/>
                <w:color w:val="000000"/>
                <w:kern w:val="0"/>
                <w:sz w:val="21"/>
                <w:szCs w:val="21"/>
                <w:lang w:val="en-US" w:eastAsia="zh-CN" w:bidi="ar"/>
              </w:rPr>
              <w:t>写作表达能力，提高沟通交流能力，培养逻辑思维和批判性思维的能力。</w:t>
            </w:r>
          </w:p>
        </w:tc>
        <w:tc>
          <w:tcPr>
            <w:tcW w:w="660" w:type="pct"/>
            <w:vMerge w:val="continue"/>
            <w:vAlign w:val="center"/>
          </w:tcPr>
          <w:p w14:paraId="679DA975">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000000"/>
                <w:kern w:val="0"/>
                <w:sz w:val="21"/>
                <w:szCs w:val="21"/>
                <w:lang w:bidi="ar"/>
              </w:rPr>
            </w:pPr>
          </w:p>
        </w:tc>
      </w:tr>
      <w:tr w14:paraId="3ECE7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0" w:hRule="atLeast"/>
        </w:trPr>
        <w:tc>
          <w:tcPr>
            <w:tcW w:w="1314" w:type="pct"/>
            <w:vAlign w:val="center"/>
          </w:tcPr>
          <w:p w14:paraId="3D8CBC0E">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000000"/>
                <w:kern w:val="0"/>
                <w:sz w:val="21"/>
                <w:szCs w:val="21"/>
                <w:lang w:bidi="ar"/>
              </w:rPr>
            </w:pPr>
            <w:r>
              <w:rPr>
                <w:rFonts w:hint="eastAsia" w:ascii="仿宋" w:hAnsi="仿宋" w:eastAsia="仿宋" w:cs="仿宋"/>
                <w:color w:val="000000"/>
                <w:kern w:val="0"/>
                <w:sz w:val="21"/>
                <w:szCs w:val="21"/>
                <w:lang w:bidi="ar"/>
              </w:rPr>
              <w:t>信息技术素养课程群</w:t>
            </w:r>
          </w:p>
          <w:p w14:paraId="49D922B2">
            <w:pPr>
              <w:keepNext w:val="0"/>
              <w:keepLines w:val="0"/>
              <w:widowControl/>
              <w:suppressLineNumbers w:val="0"/>
              <w:adjustRightInd w:val="0"/>
              <w:snapToGrid w:val="0"/>
              <w:spacing w:before="0" w:beforeAutospacing="0" w:after="0" w:afterAutospacing="0"/>
              <w:ind w:left="0" w:leftChars="0" w:right="0" w:rightChars="0"/>
              <w:jc w:val="left"/>
              <w:rPr>
                <w:rFonts w:hint="eastAsia" w:ascii="仿宋" w:hAnsi="仿宋" w:eastAsia="仿宋" w:cs="仿宋"/>
                <w:color w:val="000000"/>
                <w:kern w:val="0"/>
                <w:sz w:val="21"/>
                <w:szCs w:val="21"/>
                <w:lang w:bidi="ar"/>
              </w:rPr>
            </w:pPr>
            <w:r>
              <w:rPr>
                <w:rFonts w:hint="eastAsia" w:ascii="仿宋" w:hAnsi="仿宋" w:eastAsia="仿宋" w:cs="仿宋"/>
                <w:color w:val="000000"/>
                <w:kern w:val="0"/>
                <w:sz w:val="21"/>
                <w:szCs w:val="21"/>
                <w:lang w:bidi="ar"/>
              </w:rPr>
              <w:t>Information Technology Literacy Curriculum Group</w:t>
            </w:r>
          </w:p>
        </w:tc>
        <w:tc>
          <w:tcPr>
            <w:tcW w:w="1549" w:type="pct"/>
            <w:vAlign w:val="center"/>
          </w:tcPr>
          <w:p w14:paraId="4CC4E6E8">
            <w:pPr>
              <w:keepNext w:val="0"/>
              <w:keepLines w:val="0"/>
              <w:widowControl/>
              <w:suppressLineNumbers w:val="0"/>
              <w:spacing w:before="0" w:beforeAutospacing="0" w:after="0" w:afterAutospacing="0"/>
              <w:ind w:left="0" w:leftChars="0" w:right="0" w:rightChars="0"/>
              <w:jc w:val="left"/>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办公自动化、网页前端制作、视频制作、数据挖掘、分析与可视化、信息检索技能提升、信息化素养等</w:t>
            </w:r>
          </w:p>
        </w:tc>
        <w:tc>
          <w:tcPr>
            <w:tcW w:w="1475" w:type="pct"/>
            <w:vAlign w:val="center"/>
          </w:tcPr>
          <w:p w14:paraId="7E6AD38F">
            <w:pPr>
              <w:keepNext w:val="0"/>
              <w:keepLines w:val="0"/>
              <w:widowControl/>
              <w:suppressLineNumbers w:val="0"/>
              <w:spacing w:before="0" w:beforeAutospacing="0" w:after="0" w:afterAutospacing="0"/>
              <w:ind w:left="0" w:leftChars="0" w:right="0" w:rightChars="0"/>
              <w:jc w:val="both"/>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树立正确价值观，形成信息意识，初步具备解决问题的能力，发展计算思维，提高数字化合作与探究的能力，发扬创新精神，遵守信息社会法律法规，践行信息社会责任。</w:t>
            </w:r>
          </w:p>
        </w:tc>
        <w:tc>
          <w:tcPr>
            <w:tcW w:w="660" w:type="pct"/>
            <w:vMerge w:val="continue"/>
            <w:vAlign w:val="center"/>
          </w:tcPr>
          <w:p w14:paraId="09F051B2">
            <w:pPr>
              <w:spacing w:line="360" w:lineRule="auto"/>
              <w:jc w:val="center"/>
              <w:rPr>
                <w:rFonts w:hint="eastAsia" w:ascii="仿宋" w:hAnsi="仿宋" w:eastAsia="仿宋" w:cs="仿宋"/>
                <w:kern w:val="0"/>
                <w:sz w:val="21"/>
                <w:szCs w:val="21"/>
              </w:rPr>
            </w:pPr>
          </w:p>
        </w:tc>
      </w:tr>
      <w:tr w14:paraId="657D9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trPr>
        <w:tc>
          <w:tcPr>
            <w:tcW w:w="1314" w:type="pct"/>
            <w:vAlign w:val="center"/>
          </w:tcPr>
          <w:p w14:paraId="05E1EF11">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000000"/>
                <w:kern w:val="0"/>
                <w:sz w:val="21"/>
                <w:szCs w:val="21"/>
                <w:lang w:bidi="ar"/>
              </w:rPr>
            </w:pPr>
            <w:r>
              <w:rPr>
                <w:rFonts w:hint="eastAsia" w:ascii="仿宋" w:hAnsi="仿宋" w:eastAsia="仿宋" w:cs="仿宋"/>
                <w:color w:val="000000"/>
                <w:kern w:val="0"/>
                <w:sz w:val="21"/>
                <w:szCs w:val="21"/>
                <w:lang w:bidi="ar"/>
              </w:rPr>
              <w:t>美学艺术课程群</w:t>
            </w:r>
          </w:p>
          <w:p w14:paraId="0C127C63">
            <w:pPr>
              <w:keepNext w:val="0"/>
              <w:keepLines w:val="0"/>
              <w:widowControl/>
              <w:suppressLineNumbers w:val="0"/>
              <w:adjustRightInd w:val="0"/>
              <w:snapToGrid w:val="0"/>
              <w:spacing w:before="0" w:beforeAutospacing="0" w:after="0" w:afterAutospacing="0"/>
              <w:ind w:left="0" w:leftChars="0" w:right="0" w:rightChars="0"/>
              <w:jc w:val="left"/>
              <w:rPr>
                <w:rFonts w:hint="eastAsia" w:ascii="仿宋" w:hAnsi="仿宋" w:eastAsia="仿宋" w:cs="仿宋"/>
                <w:color w:val="000000"/>
                <w:kern w:val="0"/>
                <w:sz w:val="21"/>
                <w:szCs w:val="21"/>
                <w:lang w:bidi="ar"/>
              </w:rPr>
            </w:pPr>
            <w:r>
              <w:rPr>
                <w:rFonts w:hint="eastAsia" w:ascii="仿宋" w:hAnsi="仿宋" w:eastAsia="仿宋" w:cs="仿宋"/>
                <w:color w:val="000000"/>
                <w:kern w:val="0"/>
                <w:sz w:val="21"/>
                <w:szCs w:val="21"/>
                <w:lang w:val="en-US" w:eastAsia="zh-CN" w:bidi="ar"/>
              </w:rPr>
              <w:t xml:space="preserve">Art Aesthetics </w:t>
            </w:r>
            <w:r>
              <w:rPr>
                <w:rFonts w:hint="eastAsia" w:ascii="仿宋" w:hAnsi="仿宋" w:eastAsia="仿宋" w:cs="仿宋"/>
                <w:color w:val="000000"/>
                <w:kern w:val="0"/>
                <w:sz w:val="21"/>
                <w:szCs w:val="21"/>
                <w:lang w:bidi="ar"/>
              </w:rPr>
              <w:t>Course Group</w:t>
            </w:r>
          </w:p>
        </w:tc>
        <w:tc>
          <w:tcPr>
            <w:tcW w:w="1549" w:type="pct"/>
            <w:vAlign w:val="center"/>
          </w:tcPr>
          <w:p w14:paraId="3F8610A4">
            <w:pPr>
              <w:keepNext w:val="0"/>
              <w:keepLines w:val="0"/>
              <w:widowControl/>
              <w:suppressLineNumbers w:val="0"/>
              <w:spacing w:before="0" w:beforeAutospacing="0" w:after="0" w:afterAutospacing="0"/>
              <w:ind w:left="0" w:leftChars="0" w:right="0" w:rightChars="0"/>
              <w:jc w:val="both"/>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美学导论、设计思维和创新、世界经典影片解读、书法鉴赏、艺术教育、音乐美学、影视艺术概论与作品赏析、中国艺术史、中国音乐史、中外音乐欣赏等</w:t>
            </w:r>
          </w:p>
        </w:tc>
        <w:tc>
          <w:tcPr>
            <w:tcW w:w="1475" w:type="pct"/>
            <w:vAlign w:val="center"/>
          </w:tcPr>
          <w:p w14:paraId="3F9DD5BA">
            <w:pPr>
              <w:keepNext w:val="0"/>
              <w:keepLines w:val="0"/>
              <w:widowControl/>
              <w:suppressLineNumbers w:val="0"/>
              <w:jc w:val="both"/>
              <w:rPr>
                <w:rFonts w:hint="eastAsia"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促进学生的创造思维能力的发展。在艺术教育审美过程中，学生们不断探索与创造，形成多维度、多层次的思考，其发散性的思维就能得到发展和提升</w:t>
            </w:r>
          </w:p>
        </w:tc>
        <w:tc>
          <w:tcPr>
            <w:tcW w:w="660" w:type="pct"/>
            <w:vMerge w:val="continue"/>
            <w:vAlign w:val="center"/>
          </w:tcPr>
          <w:p w14:paraId="662B595A">
            <w:pPr>
              <w:spacing w:line="360" w:lineRule="auto"/>
              <w:jc w:val="center"/>
              <w:rPr>
                <w:rFonts w:hint="eastAsia" w:ascii="仿宋" w:hAnsi="仿宋" w:eastAsia="仿宋" w:cs="仿宋"/>
                <w:kern w:val="0"/>
                <w:sz w:val="21"/>
                <w:szCs w:val="21"/>
              </w:rPr>
            </w:pPr>
          </w:p>
        </w:tc>
      </w:tr>
    </w:tbl>
    <w:p w14:paraId="0AF6DA87">
      <w:pPr>
        <w:spacing w:line="360" w:lineRule="auto"/>
        <w:ind w:firstLine="420" w:firstLineChars="200"/>
        <w:jc w:val="left"/>
        <w:rPr>
          <w:rFonts w:hint="eastAsia" w:ascii="宋体" w:hAnsi="宋体" w:cs="宋体"/>
        </w:rPr>
      </w:pPr>
    </w:p>
    <w:p w14:paraId="2532BF51">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6.公共实践课模块</w:t>
      </w:r>
    </w:p>
    <w:p w14:paraId="7AAFD0B7">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公共实践课模块主要包含入学教育、军事训练、劳动教育、社会公益、毕业教育课程。</w:t>
      </w:r>
    </w:p>
    <w:p w14:paraId="4C6DBA60">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rPr>
          <w:rFonts w:hint="eastAsia" w:ascii="仿宋_GB2312" w:hAnsi="仿宋_GB2312" w:eastAsia="仿宋_GB2312" w:cs="仿宋_GB2312"/>
          <w:b/>
          <w:bCs/>
          <w:sz w:val="30"/>
          <w:szCs w:val="30"/>
          <w:lang w:val="en-US" w:eastAsia="zh-CN"/>
        </w:rPr>
      </w:pPr>
      <w:r>
        <w:rPr>
          <w:rFonts w:hint="eastAsia" w:ascii="仿宋_GB2312" w:hAnsi="仿宋_GB2312" w:eastAsia="仿宋_GB2312" w:cs="仿宋_GB2312"/>
          <w:b/>
          <w:bCs/>
          <w:sz w:val="30"/>
          <w:szCs w:val="30"/>
          <w:lang w:val="en-US" w:eastAsia="zh-CN"/>
        </w:rPr>
        <w:t>（二）专业教育平台</w:t>
      </w:r>
    </w:p>
    <w:p w14:paraId="66007615">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专业教育平台主要包含学科（专业）基础课模块、专业必修课模块、专业选修课模块、专业实践课模块。</w:t>
      </w:r>
    </w:p>
    <w:p w14:paraId="31D69C79">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1.学科（专业）基础课模块。同一学科门类的专业设置共同的学科基础课程，学科基础课程的设置要体现基础性、支撑性和有效性，要注意精选课程、精炼内容。</w:t>
      </w:r>
    </w:p>
    <w:p w14:paraId="292DFDBB">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专业必修课模块。专业必修课程旨在完善学生在本学科专业的知识、素质和能力结构，主要体现各专业对学生专业知识的要求。各专业要对照《普通高等学校本科专业类教学质量国家标准》的要求，设置体现本专业特点的核心课程。鼓励每个专业开设 1-2 门双语核心课程、国家级一流课程。各专业的专业核心课程原则上不超过 6 门，学分最多不超过 18 个学分。</w:t>
      </w:r>
    </w:p>
    <w:p w14:paraId="5AE767CC">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3.专业选修课模块。专业选修课程旨在拓宽学生的专业视野，增强学生适应社会需求能力，课程应具有前沿性、广泛性、实用性等特点。学校专业选修课模块模块中设置专业素养培养课程群，各专业应根据《普通高等学校本科专业类教学质量国家标准》明确规定学生选修的最低学分要求。结合专业调研、学校特色及条件开设，各专业必须给予足够的专业选修课程或课程模块供学生选择，原则上可选课程学分数至少是学生应选修课程学分数的 1.5 倍。</w:t>
      </w:r>
    </w:p>
    <w:p w14:paraId="08EA6292">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4.专业实践课模块。包括实习实训、教育见习、教育实习、生产实习（或企业顶岗实习）、课程设计、毕业实习、毕业设计（论文）等。毕业实习、毕业设计（论文）分别在第七、八学期开设，其中毕业设计（论文）为10学分。各专业的集中实践教学环节必须在培养方案中明确其具体内容与要求，要成体系、尽量细化并体现专业特色。要充分利用实践教学环节，对学生进行综合技能、创新创业思维训练，加强动手能力、综合实践能力和创新创业能力的培养。</w:t>
      </w:r>
    </w:p>
    <w:p w14:paraId="7C3E55BE">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rPr>
          <w:rFonts w:hint="eastAsia" w:ascii="仿宋_GB2312" w:hAnsi="仿宋_GB2312" w:eastAsia="仿宋_GB2312" w:cs="仿宋_GB2312"/>
          <w:b/>
          <w:bCs/>
          <w:sz w:val="30"/>
          <w:szCs w:val="30"/>
          <w:lang w:val="en-US" w:eastAsia="zh-CN"/>
        </w:rPr>
      </w:pPr>
      <w:r>
        <w:rPr>
          <w:rFonts w:hint="eastAsia" w:ascii="仿宋_GB2312" w:hAnsi="仿宋_GB2312" w:eastAsia="仿宋_GB2312" w:cs="仿宋_GB2312"/>
          <w:b/>
          <w:bCs/>
          <w:sz w:val="30"/>
          <w:szCs w:val="30"/>
          <w:lang w:val="en-US" w:eastAsia="zh-CN"/>
        </w:rPr>
        <w:t>（三）个性化发展平台</w:t>
      </w:r>
    </w:p>
    <w:p w14:paraId="483A2039">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个性化发展平台包含国内考研模块、海外深造模块、创新实践模块、跨专业模块，每个模块均为6学分。国内考研模块可通过考研成绩进行学分认定；海外深造模块包含雅思听说读写的强化训练等课程，可通过雅思成绩进行认定；创新实践模块包含课程学习、职业技能证书、学科专业竞赛、论文发表、专利申请、社团活动、学术讲座等，该模块要求学生至少取得一个职业技能证书，具体内容由各专业自行设置。跨专业模块由各二级学院根据专业特点开设课程，促进学科交叉融合，拓展专业方向，加深专业知识；鼓励跨学院开设专业选修，建议每门课开设1-2学分，以线上线下结合的方式开课。</w:t>
      </w:r>
    </w:p>
    <w:p w14:paraId="3199EA11">
      <w:pPr>
        <w:keepNext w:val="0"/>
        <w:keepLines w:val="0"/>
        <w:pageBreakBefore w:val="0"/>
        <w:kinsoku/>
        <w:wordWrap/>
        <w:overflowPunct/>
        <w:topLinePunct w:val="0"/>
        <w:autoSpaceDE/>
        <w:autoSpaceDN/>
        <w:bidi w:val="0"/>
        <w:adjustRightInd/>
        <w:snapToGrid/>
        <w:spacing w:line="560" w:lineRule="exact"/>
        <w:ind w:firstLine="602" w:firstLineChars="200"/>
        <w:jc w:val="both"/>
        <w:textAlignment w:val="auto"/>
        <w:rPr>
          <w:rFonts w:hint="eastAsia" w:ascii="仿宋_GB2312" w:hAnsi="仿宋_GB2312" w:eastAsia="仿宋_GB2312" w:cs="仿宋_GB2312"/>
          <w:b/>
          <w:bCs/>
          <w:sz w:val="30"/>
          <w:szCs w:val="30"/>
          <w:lang w:val="en-US" w:eastAsia="zh-CN"/>
        </w:rPr>
      </w:pPr>
      <w:r>
        <w:rPr>
          <w:rFonts w:hint="eastAsia" w:ascii="仿宋_GB2312" w:hAnsi="仿宋_GB2312" w:eastAsia="仿宋_GB2312" w:cs="仿宋_GB2312"/>
          <w:b/>
          <w:bCs/>
          <w:sz w:val="30"/>
          <w:szCs w:val="30"/>
          <w:lang w:val="en-US" w:eastAsia="zh-CN"/>
        </w:rPr>
        <w:t>五、学习年限及学分、学时要求</w:t>
      </w:r>
    </w:p>
    <w:p w14:paraId="5B023721">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（一）本科基本学习年限为四年，实行弹性学习年限制度，最长一般不超过八年。具体要求以《南宁理工学院学生学籍管理规定》的相关说明为准。</w:t>
      </w:r>
    </w:p>
    <w:p w14:paraId="51BB26F6">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（二）学分计算方法</w:t>
      </w:r>
    </w:p>
    <w:p w14:paraId="6C7B1A94">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课堂教学、实验教学（含上机）按16学时计1学分，每门课程的学分以0.5为单位；体育课每 32 学时计 1 学分；集中实践环节按每周（16学时）计1学分，毕业实习计4学分、毕业设计计10学分；除通识教育课程和公共通修课程外，其他课程必修学分比例一般不超过 50%。</w:t>
      </w:r>
    </w:p>
    <w:p w14:paraId="4E01EB83">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（三）学时、学分要求</w:t>
      </w:r>
    </w:p>
    <w:p w14:paraId="76B3A151">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各专业培养方案按四年标准学制进行课程设置及学分分配，总学分应与《普通高等学校本科专业类教学质量国家标准》中具体专业学分的规定相符，一般四年制应控制在155-170学分，若个别专业的总学分与《普通高等学校本科专业类教学质量国家标准》中规定的不符，以《普通高等学校本科专业类教学质量国家标准》中规定的为准。学分设置原则要求如下：</w:t>
      </w:r>
    </w:p>
    <w:p w14:paraId="0A5E14BC">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（1）本科总学分：理学、工学、医学各类专业不超过170学分，文学、经济学、管理学各类专业不超过160学分，艺术学各类专业不超过165学分。详见表2。</w:t>
      </w:r>
    </w:p>
    <w:p w14:paraId="0F41CE11">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表6  学分总体要求</w:t>
      </w:r>
    </w:p>
    <w:tbl>
      <w:tblPr>
        <w:tblStyle w:val="8"/>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884"/>
        <w:gridCol w:w="1288"/>
        <w:gridCol w:w="2983"/>
        <w:gridCol w:w="1971"/>
        <w:gridCol w:w="1930"/>
      </w:tblGrid>
      <w:tr w14:paraId="69E9E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31" w:hRule="atLeast"/>
          <w:tblHeader/>
          <w:jc w:val="center"/>
        </w:trPr>
        <w:tc>
          <w:tcPr>
            <w:tcW w:w="488" w:type="pct"/>
            <w:shd w:val="clear" w:color="000000" w:fill="FFFFFF"/>
            <w:tcMar>
              <w:left w:w="108" w:type="dxa"/>
              <w:right w:w="108" w:type="dxa"/>
            </w:tcMar>
            <w:vAlign w:val="center"/>
          </w:tcPr>
          <w:p w14:paraId="62322E9A">
            <w:pPr>
              <w:spacing w:line="240" w:lineRule="auto"/>
              <w:ind w:right="-28" w:firstLine="0" w:firstLineChars="0"/>
              <w:jc w:val="center"/>
              <w:rPr>
                <w:rFonts w:hint="eastAsia" w:ascii="仿宋" w:hAnsi="仿宋" w:eastAsia="仿宋" w:cs="仿宋"/>
                <w:b/>
                <w:bCs/>
                <w:sz w:val="21"/>
                <w:szCs w:val="21"/>
              </w:rPr>
            </w:pPr>
            <w:r>
              <w:rPr>
                <w:rFonts w:hint="eastAsia" w:ascii="仿宋" w:hAnsi="仿宋" w:eastAsia="仿宋" w:cs="仿宋"/>
                <w:b/>
                <w:bCs/>
                <w:sz w:val="21"/>
                <w:szCs w:val="21"/>
              </w:rPr>
              <w:t>学制</w:t>
            </w:r>
          </w:p>
        </w:tc>
        <w:tc>
          <w:tcPr>
            <w:tcW w:w="711" w:type="pct"/>
            <w:shd w:val="clear" w:color="000000" w:fill="FFFFFF"/>
            <w:tcMar>
              <w:left w:w="108" w:type="dxa"/>
              <w:right w:w="108" w:type="dxa"/>
            </w:tcMar>
            <w:vAlign w:val="center"/>
          </w:tcPr>
          <w:p w14:paraId="0C1CD3E9">
            <w:pPr>
              <w:spacing w:line="240" w:lineRule="auto"/>
              <w:ind w:right="-28" w:firstLine="0" w:firstLineChars="0"/>
              <w:jc w:val="center"/>
              <w:rPr>
                <w:rFonts w:hint="eastAsia" w:ascii="仿宋" w:hAnsi="仿宋" w:eastAsia="仿宋" w:cs="仿宋"/>
                <w:b/>
                <w:bCs/>
                <w:sz w:val="21"/>
                <w:szCs w:val="21"/>
              </w:rPr>
            </w:pPr>
            <w:r>
              <w:rPr>
                <w:rFonts w:hint="eastAsia" w:ascii="仿宋" w:hAnsi="仿宋" w:eastAsia="仿宋" w:cs="仿宋"/>
                <w:b/>
                <w:bCs/>
                <w:sz w:val="21"/>
                <w:szCs w:val="21"/>
              </w:rPr>
              <w:t>专业</w:t>
            </w:r>
          </w:p>
        </w:tc>
        <w:tc>
          <w:tcPr>
            <w:tcW w:w="1646" w:type="pct"/>
            <w:shd w:val="clear" w:color="000000" w:fill="FFFFFF"/>
            <w:tcMar>
              <w:left w:w="108" w:type="dxa"/>
              <w:right w:w="108" w:type="dxa"/>
            </w:tcMar>
            <w:vAlign w:val="center"/>
          </w:tcPr>
          <w:p w14:paraId="2B04B122">
            <w:pPr>
              <w:spacing w:line="240" w:lineRule="auto"/>
              <w:ind w:right="-28" w:firstLine="0" w:firstLineChars="0"/>
              <w:jc w:val="center"/>
              <w:rPr>
                <w:rFonts w:hint="eastAsia" w:ascii="仿宋" w:hAnsi="仿宋" w:eastAsia="仿宋" w:cs="仿宋"/>
                <w:b/>
                <w:bCs/>
                <w:sz w:val="21"/>
                <w:szCs w:val="21"/>
              </w:rPr>
            </w:pPr>
            <w:r>
              <w:rPr>
                <w:rFonts w:hint="eastAsia" w:ascii="仿宋" w:hAnsi="仿宋" w:eastAsia="仿宋" w:cs="仿宋"/>
                <w:b/>
                <w:bCs/>
                <w:sz w:val="21"/>
                <w:szCs w:val="21"/>
              </w:rPr>
              <w:t>总学分</w:t>
            </w:r>
          </w:p>
        </w:tc>
        <w:tc>
          <w:tcPr>
            <w:tcW w:w="1088" w:type="pct"/>
            <w:shd w:val="clear" w:color="000000" w:fill="FFFFFF"/>
            <w:tcMar>
              <w:left w:w="108" w:type="dxa"/>
              <w:right w:w="108" w:type="dxa"/>
            </w:tcMar>
            <w:vAlign w:val="center"/>
          </w:tcPr>
          <w:p w14:paraId="6B7E173C">
            <w:pPr>
              <w:spacing w:line="240" w:lineRule="auto"/>
              <w:ind w:right="-28" w:firstLine="0" w:firstLineChars="0"/>
              <w:jc w:val="center"/>
              <w:rPr>
                <w:rFonts w:hint="eastAsia" w:ascii="仿宋" w:hAnsi="仿宋" w:eastAsia="仿宋" w:cs="仿宋"/>
                <w:b/>
                <w:bCs/>
                <w:sz w:val="21"/>
                <w:szCs w:val="21"/>
              </w:rPr>
            </w:pPr>
            <w:r>
              <w:rPr>
                <w:rFonts w:hint="eastAsia" w:ascii="仿宋" w:hAnsi="仿宋" w:eastAsia="仿宋" w:cs="仿宋"/>
                <w:b/>
                <w:bCs/>
                <w:sz w:val="21"/>
                <w:szCs w:val="21"/>
              </w:rPr>
              <w:t>集中性实践课学分</w:t>
            </w:r>
          </w:p>
          <w:p w14:paraId="7E714B4F">
            <w:pPr>
              <w:spacing w:line="240" w:lineRule="auto"/>
              <w:ind w:right="-28" w:firstLine="0" w:firstLineChars="0"/>
              <w:jc w:val="center"/>
              <w:rPr>
                <w:rFonts w:hint="eastAsia" w:ascii="仿宋" w:hAnsi="仿宋" w:eastAsia="仿宋" w:cs="仿宋"/>
                <w:b/>
                <w:bCs/>
                <w:sz w:val="21"/>
                <w:szCs w:val="21"/>
              </w:rPr>
            </w:pPr>
            <w:r>
              <w:rPr>
                <w:rFonts w:hint="eastAsia" w:ascii="仿宋" w:hAnsi="仿宋" w:eastAsia="仿宋" w:cs="仿宋"/>
                <w:b/>
                <w:bCs/>
                <w:sz w:val="21"/>
                <w:szCs w:val="21"/>
              </w:rPr>
              <w:t>占总学分比例</w:t>
            </w:r>
          </w:p>
        </w:tc>
        <w:tc>
          <w:tcPr>
            <w:tcW w:w="1065" w:type="pct"/>
            <w:shd w:val="clear" w:color="000000" w:fill="FFFFFF"/>
            <w:tcMar>
              <w:left w:w="108" w:type="dxa"/>
              <w:right w:w="108" w:type="dxa"/>
            </w:tcMar>
            <w:vAlign w:val="center"/>
          </w:tcPr>
          <w:p w14:paraId="1CD282EE">
            <w:pPr>
              <w:spacing w:line="240" w:lineRule="auto"/>
              <w:ind w:right="-28" w:firstLine="0" w:firstLineChars="0"/>
              <w:jc w:val="center"/>
              <w:rPr>
                <w:rFonts w:hint="eastAsia" w:ascii="仿宋" w:hAnsi="仿宋" w:eastAsia="仿宋" w:cs="仿宋"/>
                <w:b/>
                <w:bCs/>
                <w:sz w:val="21"/>
                <w:szCs w:val="21"/>
              </w:rPr>
            </w:pPr>
            <w:r>
              <w:rPr>
                <w:rFonts w:hint="eastAsia" w:ascii="仿宋" w:hAnsi="仿宋" w:eastAsia="仿宋" w:cs="仿宋"/>
                <w:b/>
                <w:bCs/>
                <w:sz w:val="21"/>
                <w:szCs w:val="21"/>
              </w:rPr>
              <w:t>实践教学环节学分占总学分比例</w:t>
            </w:r>
          </w:p>
        </w:tc>
      </w:tr>
      <w:tr w14:paraId="5DB66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40" w:hRule="atLeast"/>
          <w:jc w:val="center"/>
        </w:trPr>
        <w:tc>
          <w:tcPr>
            <w:tcW w:w="488" w:type="pct"/>
            <w:vMerge w:val="restart"/>
            <w:shd w:val="clear" w:color="000000" w:fill="FFFFFF"/>
            <w:tcMar>
              <w:left w:w="108" w:type="dxa"/>
              <w:right w:w="108" w:type="dxa"/>
            </w:tcMar>
            <w:vAlign w:val="center"/>
          </w:tcPr>
          <w:p w14:paraId="5CE9F15A">
            <w:pPr>
              <w:spacing w:line="240" w:lineRule="auto"/>
              <w:ind w:right="-28" w:firstLine="0" w:firstLineChars="0"/>
              <w:jc w:val="center"/>
              <w:rPr>
                <w:rFonts w:hint="eastAsia" w:ascii="仿宋" w:hAnsi="仿宋" w:eastAsia="仿宋" w:cs="仿宋"/>
                <w:sz w:val="21"/>
                <w:szCs w:val="21"/>
              </w:rPr>
            </w:pPr>
            <w:r>
              <w:rPr>
                <w:rFonts w:hint="eastAsia" w:ascii="仿宋" w:hAnsi="仿宋" w:eastAsia="仿宋" w:cs="仿宋"/>
                <w:sz w:val="21"/>
                <w:szCs w:val="21"/>
              </w:rPr>
              <w:t>四年制</w:t>
            </w:r>
          </w:p>
        </w:tc>
        <w:tc>
          <w:tcPr>
            <w:tcW w:w="711" w:type="pct"/>
            <w:shd w:val="clear" w:color="000000" w:fill="FFFFFF"/>
            <w:tcMar>
              <w:left w:w="108" w:type="dxa"/>
              <w:right w:w="108" w:type="dxa"/>
            </w:tcMar>
            <w:vAlign w:val="center"/>
          </w:tcPr>
          <w:p w14:paraId="248893CE">
            <w:pPr>
              <w:spacing w:line="240" w:lineRule="auto"/>
              <w:ind w:right="-28" w:firstLine="0" w:firstLineChars="0"/>
              <w:jc w:val="center"/>
              <w:rPr>
                <w:rFonts w:hint="eastAsia" w:ascii="仿宋" w:hAnsi="仿宋" w:eastAsia="仿宋" w:cs="仿宋"/>
                <w:sz w:val="21"/>
                <w:szCs w:val="21"/>
              </w:rPr>
            </w:pPr>
            <w:r>
              <w:rPr>
                <w:rFonts w:hint="eastAsia" w:ascii="仿宋" w:hAnsi="仿宋" w:eastAsia="仿宋" w:cs="仿宋"/>
                <w:sz w:val="21"/>
                <w:szCs w:val="21"/>
                <w:lang w:val="en-US" w:eastAsia="zh-CN"/>
              </w:rPr>
              <w:t>人文社科</w:t>
            </w:r>
            <w:r>
              <w:rPr>
                <w:rFonts w:hint="eastAsia" w:ascii="仿宋" w:hAnsi="仿宋" w:eastAsia="仿宋" w:cs="仿宋"/>
                <w:sz w:val="21"/>
                <w:szCs w:val="21"/>
              </w:rPr>
              <w:t>类</w:t>
            </w:r>
          </w:p>
        </w:tc>
        <w:tc>
          <w:tcPr>
            <w:tcW w:w="1646" w:type="pct"/>
            <w:shd w:val="clear" w:color="000000" w:fill="FFFFFF"/>
            <w:tcMar>
              <w:left w:w="108" w:type="dxa"/>
              <w:right w:w="108" w:type="dxa"/>
            </w:tcMar>
            <w:vAlign w:val="center"/>
          </w:tcPr>
          <w:p w14:paraId="4C7F9D6B">
            <w:pPr>
              <w:spacing w:line="240" w:lineRule="auto"/>
              <w:ind w:right="-28" w:firstLine="0" w:firstLineChars="0"/>
              <w:jc w:val="center"/>
              <w:rPr>
                <w:rFonts w:hint="eastAsia" w:ascii="仿宋" w:hAnsi="仿宋" w:eastAsia="仿宋" w:cs="仿宋"/>
                <w:sz w:val="21"/>
                <w:szCs w:val="21"/>
                <w:u w:val="none"/>
              </w:rPr>
            </w:pPr>
            <w:r>
              <w:rPr>
                <w:rFonts w:hint="eastAsia" w:ascii="仿宋" w:hAnsi="仿宋" w:eastAsia="仿宋" w:cs="仿宋"/>
                <w:sz w:val="21"/>
                <w:szCs w:val="21"/>
                <w:u w:val="none"/>
                <w:lang w:val="en-US" w:eastAsia="zh-CN"/>
              </w:rPr>
              <w:t>不超过160</w:t>
            </w:r>
            <w:r>
              <w:rPr>
                <w:rFonts w:hint="eastAsia" w:ascii="仿宋" w:hAnsi="仿宋" w:eastAsia="仿宋" w:cs="仿宋"/>
                <w:sz w:val="21"/>
                <w:szCs w:val="21"/>
                <w:u w:val="none"/>
              </w:rPr>
              <w:t>学分                  （</w:t>
            </w:r>
            <w:r>
              <w:rPr>
                <w:rFonts w:hint="eastAsia" w:ascii="仿宋" w:hAnsi="仿宋" w:eastAsia="仿宋" w:cs="仿宋"/>
                <w:sz w:val="21"/>
                <w:szCs w:val="21"/>
                <w:u w:val="none"/>
                <w:lang w:val="en-US" w:eastAsia="zh-CN"/>
              </w:rPr>
              <w:t>艺术学</w:t>
            </w:r>
            <w:r>
              <w:rPr>
                <w:rFonts w:hint="eastAsia" w:ascii="仿宋" w:hAnsi="仿宋" w:eastAsia="仿宋" w:cs="仿宋"/>
                <w:sz w:val="21"/>
                <w:szCs w:val="21"/>
                <w:u w:val="none"/>
              </w:rPr>
              <w:t>专业不超过</w:t>
            </w:r>
            <w:r>
              <w:rPr>
                <w:rFonts w:hint="eastAsia" w:ascii="仿宋" w:hAnsi="仿宋" w:eastAsia="仿宋" w:cs="仿宋"/>
                <w:sz w:val="21"/>
                <w:szCs w:val="21"/>
                <w:u w:val="none"/>
                <w:lang w:val="en-US" w:eastAsia="zh-CN"/>
              </w:rPr>
              <w:t>165</w:t>
            </w:r>
            <w:r>
              <w:rPr>
                <w:rFonts w:hint="eastAsia" w:ascii="仿宋" w:hAnsi="仿宋" w:eastAsia="仿宋" w:cs="仿宋"/>
                <w:sz w:val="21"/>
                <w:szCs w:val="21"/>
                <w:u w:val="none"/>
              </w:rPr>
              <w:t>学分）</w:t>
            </w:r>
          </w:p>
        </w:tc>
        <w:tc>
          <w:tcPr>
            <w:tcW w:w="1088" w:type="pct"/>
            <w:shd w:val="clear" w:color="000000" w:fill="FFFFFF"/>
            <w:tcMar>
              <w:left w:w="108" w:type="dxa"/>
              <w:right w:w="108" w:type="dxa"/>
            </w:tcMar>
            <w:vAlign w:val="center"/>
          </w:tcPr>
          <w:p w14:paraId="45E45EA8">
            <w:pPr>
              <w:spacing w:line="240" w:lineRule="auto"/>
              <w:ind w:right="-28" w:firstLine="0" w:firstLineChars="0"/>
              <w:jc w:val="center"/>
              <w:rPr>
                <w:rFonts w:hint="eastAsia" w:ascii="仿宋" w:hAnsi="仿宋" w:eastAsia="仿宋" w:cs="仿宋"/>
                <w:sz w:val="21"/>
                <w:szCs w:val="21"/>
              </w:rPr>
            </w:pPr>
            <w:r>
              <w:rPr>
                <w:rFonts w:hint="eastAsia" w:ascii="仿宋" w:hAnsi="仿宋" w:eastAsia="仿宋" w:cs="仿宋"/>
                <w:sz w:val="21"/>
                <w:szCs w:val="21"/>
                <w:lang w:val="en-US" w:eastAsia="zh-CN"/>
              </w:rPr>
              <w:t>20</w:t>
            </w:r>
            <w:r>
              <w:rPr>
                <w:rFonts w:hint="eastAsia" w:ascii="仿宋" w:hAnsi="仿宋" w:eastAsia="仿宋" w:cs="仿宋"/>
                <w:sz w:val="21"/>
                <w:szCs w:val="21"/>
              </w:rPr>
              <w:t>%～</w:t>
            </w:r>
            <w:r>
              <w:rPr>
                <w:rFonts w:hint="eastAsia" w:ascii="仿宋" w:hAnsi="仿宋" w:eastAsia="仿宋" w:cs="仿宋"/>
                <w:sz w:val="21"/>
                <w:szCs w:val="21"/>
                <w:lang w:val="en-US" w:eastAsia="zh-CN"/>
              </w:rPr>
              <w:t>25</w:t>
            </w:r>
            <w:r>
              <w:rPr>
                <w:rFonts w:hint="eastAsia" w:ascii="仿宋" w:hAnsi="仿宋" w:eastAsia="仿宋" w:cs="仿宋"/>
                <w:sz w:val="21"/>
                <w:szCs w:val="21"/>
              </w:rPr>
              <w:t xml:space="preserve">%                       </w:t>
            </w:r>
          </w:p>
        </w:tc>
        <w:tc>
          <w:tcPr>
            <w:tcW w:w="1065" w:type="pct"/>
            <w:shd w:val="clear" w:color="000000" w:fill="FFFFFF"/>
            <w:tcMar>
              <w:left w:w="108" w:type="dxa"/>
              <w:right w:w="108" w:type="dxa"/>
            </w:tcMar>
            <w:vAlign w:val="center"/>
          </w:tcPr>
          <w:p w14:paraId="44A12DDE">
            <w:pPr>
              <w:spacing w:line="240" w:lineRule="auto"/>
              <w:ind w:right="-28" w:rightChars="0" w:firstLine="0" w:firstLineChars="0"/>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30</w:t>
            </w:r>
            <w:r>
              <w:rPr>
                <w:rFonts w:hint="eastAsia" w:ascii="仿宋" w:hAnsi="仿宋" w:eastAsia="仿宋" w:cs="仿宋"/>
                <w:sz w:val="21"/>
                <w:szCs w:val="21"/>
              </w:rPr>
              <w:t>%～</w:t>
            </w:r>
            <w:r>
              <w:rPr>
                <w:rFonts w:hint="eastAsia" w:ascii="仿宋" w:hAnsi="仿宋" w:eastAsia="仿宋" w:cs="仿宋"/>
                <w:sz w:val="21"/>
                <w:szCs w:val="21"/>
                <w:lang w:val="en-US" w:eastAsia="zh-CN"/>
              </w:rPr>
              <w:t>40</w:t>
            </w:r>
            <w:r>
              <w:rPr>
                <w:rFonts w:hint="eastAsia" w:ascii="仿宋" w:hAnsi="仿宋" w:eastAsia="仿宋" w:cs="仿宋"/>
                <w:sz w:val="21"/>
                <w:szCs w:val="21"/>
              </w:rPr>
              <w:t xml:space="preserve">%                       </w:t>
            </w:r>
          </w:p>
        </w:tc>
      </w:tr>
      <w:tr w14:paraId="6CA99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5" w:hRule="atLeast"/>
          <w:jc w:val="center"/>
        </w:trPr>
        <w:tc>
          <w:tcPr>
            <w:tcW w:w="488" w:type="pct"/>
            <w:vMerge w:val="continue"/>
            <w:shd w:val="clear" w:color="000000" w:fill="FFFFFF"/>
            <w:tcMar>
              <w:left w:w="108" w:type="dxa"/>
              <w:right w:w="108" w:type="dxa"/>
            </w:tcMar>
            <w:vAlign w:val="center"/>
          </w:tcPr>
          <w:p w14:paraId="6AFD1486">
            <w:pPr>
              <w:spacing w:after="200" w:line="240" w:lineRule="auto"/>
              <w:ind w:firstLine="0" w:firstLineChars="0"/>
              <w:jc w:val="left"/>
              <w:rPr>
                <w:rFonts w:hint="eastAsia" w:ascii="仿宋" w:hAnsi="仿宋" w:eastAsia="仿宋" w:cs="仿宋"/>
                <w:sz w:val="21"/>
                <w:szCs w:val="21"/>
              </w:rPr>
            </w:pPr>
          </w:p>
        </w:tc>
        <w:tc>
          <w:tcPr>
            <w:tcW w:w="711" w:type="pct"/>
            <w:shd w:val="clear" w:color="000000" w:fill="FFFFFF"/>
            <w:tcMar>
              <w:left w:w="108" w:type="dxa"/>
              <w:right w:w="108" w:type="dxa"/>
            </w:tcMar>
            <w:vAlign w:val="center"/>
          </w:tcPr>
          <w:p w14:paraId="3B63974D">
            <w:pPr>
              <w:spacing w:line="240" w:lineRule="auto"/>
              <w:ind w:right="-28" w:firstLine="0" w:firstLineChars="0"/>
              <w:jc w:val="center"/>
              <w:rPr>
                <w:rFonts w:hint="eastAsia" w:ascii="仿宋" w:hAnsi="仿宋" w:eastAsia="仿宋" w:cs="仿宋"/>
                <w:sz w:val="21"/>
                <w:szCs w:val="21"/>
                <w:lang w:val="en-US"/>
              </w:rPr>
            </w:pPr>
            <w:r>
              <w:rPr>
                <w:rFonts w:hint="eastAsia" w:ascii="仿宋" w:hAnsi="仿宋" w:eastAsia="仿宋" w:cs="仿宋"/>
                <w:sz w:val="21"/>
                <w:szCs w:val="21"/>
                <w:lang w:val="en-US" w:eastAsia="zh-CN"/>
              </w:rPr>
              <w:t>理工类</w:t>
            </w:r>
          </w:p>
        </w:tc>
        <w:tc>
          <w:tcPr>
            <w:tcW w:w="1646" w:type="pct"/>
            <w:shd w:val="clear" w:color="000000" w:fill="FFFFFF"/>
            <w:tcMar>
              <w:left w:w="108" w:type="dxa"/>
              <w:right w:w="108" w:type="dxa"/>
            </w:tcMar>
            <w:vAlign w:val="center"/>
          </w:tcPr>
          <w:p w14:paraId="61369FDB">
            <w:pPr>
              <w:spacing w:line="240" w:lineRule="auto"/>
              <w:ind w:right="-28" w:firstLine="0" w:firstLineChars="0"/>
              <w:jc w:val="center"/>
              <w:rPr>
                <w:rFonts w:hint="eastAsia" w:ascii="仿宋" w:hAnsi="仿宋" w:eastAsia="仿宋" w:cs="仿宋"/>
                <w:sz w:val="21"/>
                <w:szCs w:val="21"/>
                <w:u w:val="none"/>
              </w:rPr>
            </w:pPr>
            <w:r>
              <w:rPr>
                <w:rFonts w:hint="eastAsia" w:ascii="仿宋" w:hAnsi="仿宋" w:eastAsia="仿宋" w:cs="仿宋"/>
                <w:sz w:val="21"/>
                <w:szCs w:val="21"/>
                <w:u w:val="none"/>
                <w:lang w:val="en-US" w:eastAsia="zh-CN"/>
              </w:rPr>
              <w:t>不超过170</w:t>
            </w:r>
            <w:r>
              <w:rPr>
                <w:rFonts w:hint="eastAsia" w:ascii="仿宋" w:hAnsi="仿宋" w:eastAsia="仿宋" w:cs="仿宋"/>
                <w:sz w:val="21"/>
                <w:szCs w:val="21"/>
                <w:u w:val="none"/>
              </w:rPr>
              <w:t xml:space="preserve">学分                  </w:t>
            </w:r>
          </w:p>
        </w:tc>
        <w:tc>
          <w:tcPr>
            <w:tcW w:w="1088" w:type="pct"/>
            <w:shd w:val="clear" w:color="000000" w:fill="FFFFFF"/>
            <w:tcMar>
              <w:left w:w="108" w:type="dxa"/>
              <w:right w:w="108" w:type="dxa"/>
            </w:tcMar>
            <w:vAlign w:val="center"/>
          </w:tcPr>
          <w:p w14:paraId="0B6FD628">
            <w:pPr>
              <w:spacing w:line="240" w:lineRule="auto"/>
              <w:ind w:right="-28" w:firstLine="0" w:firstLineChars="0"/>
              <w:jc w:val="center"/>
              <w:rPr>
                <w:rFonts w:hint="eastAsia" w:ascii="仿宋" w:hAnsi="仿宋" w:eastAsia="仿宋" w:cs="仿宋"/>
                <w:sz w:val="21"/>
                <w:szCs w:val="21"/>
              </w:rPr>
            </w:pPr>
            <w:r>
              <w:rPr>
                <w:rFonts w:hint="eastAsia" w:ascii="仿宋" w:hAnsi="仿宋" w:eastAsia="仿宋" w:cs="仿宋"/>
                <w:sz w:val="21"/>
                <w:szCs w:val="21"/>
                <w:lang w:val="en-US" w:eastAsia="zh-CN"/>
              </w:rPr>
              <w:t>25</w:t>
            </w:r>
            <w:r>
              <w:rPr>
                <w:rFonts w:hint="eastAsia" w:ascii="仿宋" w:hAnsi="仿宋" w:eastAsia="仿宋" w:cs="仿宋"/>
                <w:sz w:val="21"/>
                <w:szCs w:val="21"/>
              </w:rPr>
              <w:t>%-</w:t>
            </w:r>
            <w:r>
              <w:rPr>
                <w:rFonts w:hint="eastAsia" w:ascii="仿宋" w:hAnsi="仿宋" w:eastAsia="仿宋" w:cs="仿宋"/>
                <w:sz w:val="21"/>
                <w:szCs w:val="21"/>
                <w:lang w:val="en-US" w:eastAsia="zh-CN"/>
              </w:rPr>
              <w:t>30</w:t>
            </w:r>
            <w:r>
              <w:rPr>
                <w:rFonts w:hint="eastAsia" w:ascii="仿宋" w:hAnsi="仿宋" w:eastAsia="仿宋" w:cs="仿宋"/>
                <w:sz w:val="21"/>
                <w:szCs w:val="21"/>
              </w:rPr>
              <w:t xml:space="preserve">%    </w:t>
            </w:r>
            <w:r>
              <w:rPr>
                <w:rFonts w:hint="eastAsia" w:ascii="仿宋" w:hAnsi="仿宋" w:eastAsia="仿宋" w:cs="仿宋"/>
                <w:sz w:val="21"/>
                <w:szCs w:val="21"/>
                <w:lang w:val="en-US" w:eastAsia="zh-CN"/>
              </w:rPr>
              <w:t xml:space="preserve">                 </w:t>
            </w:r>
          </w:p>
        </w:tc>
        <w:tc>
          <w:tcPr>
            <w:tcW w:w="1065" w:type="pct"/>
            <w:shd w:val="clear" w:color="000000" w:fill="FFFFFF"/>
            <w:tcMar>
              <w:left w:w="108" w:type="dxa"/>
              <w:right w:w="108" w:type="dxa"/>
            </w:tcMar>
            <w:vAlign w:val="center"/>
          </w:tcPr>
          <w:p w14:paraId="0801D0EA">
            <w:pPr>
              <w:spacing w:line="240" w:lineRule="auto"/>
              <w:ind w:right="-28" w:rightChars="0" w:firstLine="0" w:firstLineChars="0"/>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35</w:t>
            </w:r>
            <w:r>
              <w:rPr>
                <w:rFonts w:hint="eastAsia" w:ascii="仿宋" w:hAnsi="仿宋" w:eastAsia="仿宋" w:cs="仿宋"/>
                <w:sz w:val="21"/>
                <w:szCs w:val="21"/>
              </w:rPr>
              <w:t>%-</w:t>
            </w:r>
            <w:r>
              <w:rPr>
                <w:rFonts w:hint="eastAsia" w:ascii="仿宋" w:hAnsi="仿宋" w:eastAsia="仿宋" w:cs="仿宋"/>
                <w:sz w:val="21"/>
                <w:szCs w:val="21"/>
                <w:lang w:val="en-US" w:eastAsia="zh-CN"/>
              </w:rPr>
              <w:t>40</w:t>
            </w:r>
            <w:r>
              <w:rPr>
                <w:rFonts w:hint="eastAsia" w:ascii="仿宋" w:hAnsi="仿宋" w:eastAsia="仿宋" w:cs="仿宋"/>
                <w:sz w:val="21"/>
                <w:szCs w:val="21"/>
              </w:rPr>
              <w:t xml:space="preserve">%    </w:t>
            </w:r>
            <w:r>
              <w:rPr>
                <w:rFonts w:hint="eastAsia" w:ascii="仿宋" w:hAnsi="仿宋" w:eastAsia="仿宋" w:cs="仿宋"/>
                <w:sz w:val="21"/>
                <w:szCs w:val="21"/>
                <w:lang w:val="en-US" w:eastAsia="zh-CN"/>
              </w:rPr>
              <w:t xml:space="preserve">                 </w:t>
            </w:r>
          </w:p>
        </w:tc>
      </w:tr>
    </w:tbl>
    <w:p w14:paraId="60223670">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（2）微专业总学分：不超过20学分。</w:t>
      </w:r>
    </w:p>
    <w:p w14:paraId="47622C16">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（3）辅修专业总学分：不超过30学分。各专业应为其他不同专业类的学生辅修本专业制定相应的辅修专业培养方案。辅修专业学生修读课程应为该专业的主干课程，且包含毕业设计（论文） 等必要的实践环节。</w:t>
      </w:r>
    </w:p>
    <w:p w14:paraId="4E1777C2">
      <w:pPr>
        <w:keepNext w:val="0"/>
        <w:keepLines w:val="0"/>
        <w:pageBreakBefore w:val="0"/>
        <w:kinsoku/>
        <w:wordWrap/>
        <w:overflowPunct/>
        <w:topLinePunct w:val="0"/>
        <w:autoSpaceDE/>
        <w:autoSpaceDN/>
        <w:bidi w:val="0"/>
        <w:adjustRightInd/>
        <w:snapToGrid/>
        <w:spacing w:line="560" w:lineRule="exact"/>
        <w:ind w:firstLine="602" w:firstLineChars="200"/>
        <w:jc w:val="both"/>
        <w:textAlignment w:val="auto"/>
        <w:rPr>
          <w:rFonts w:hint="eastAsia" w:ascii="仿宋_GB2312" w:hAnsi="仿宋_GB2312" w:eastAsia="仿宋_GB2312" w:cs="仿宋_GB2312"/>
          <w:b/>
          <w:bCs/>
          <w:sz w:val="30"/>
          <w:szCs w:val="30"/>
          <w:lang w:val="en-US" w:eastAsia="zh-CN"/>
        </w:rPr>
      </w:pPr>
      <w:r>
        <w:rPr>
          <w:rFonts w:hint="eastAsia" w:ascii="仿宋_GB2312" w:hAnsi="仿宋_GB2312" w:eastAsia="仿宋_GB2312" w:cs="仿宋_GB2312"/>
          <w:b/>
          <w:bCs/>
          <w:sz w:val="30"/>
          <w:szCs w:val="30"/>
          <w:lang w:val="en-US" w:eastAsia="zh-CN"/>
        </w:rPr>
        <w:t>六、培养方案基本内容</w:t>
      </w:r>
    </w:p>
    <w:p w14:paraId="07F8EE42">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培养方案的内容主要由专业基本信息、培养目标、毕业要求、主干学科、核心课程及特色课程、主要实践性教学环节、职业资格及其证书要求、毕业学分要求、学制与学位、课程结构学时学分表、各学期教学环节周数、周学时统计表、毕业要求支撑培养目标实现关系矩阵表、课程体系支撑毕业要求实现关系矩阵表、专业课程体系拓扑图、教学计划进程表、辅修专业。</w:t>
      </w:r>
    </w:p>
    <w:p w14:paraId="087979CE">
      <w:pPr>
        <w:keepNext w:val="0"/>
        <w:keepLines w:val="0"/>
        <w:pageBreakBefore w:val="0"/>
        <w:kinsoku/>
        <w:wordWrap/>
        <w:overflowPunct/>
        <w:topLinePunct w:val="0"/>
        <w:autoSpaceDE/>
        <w:autoSpaceDN/>
        <w:bidi w:val="0"/>
        <w:adjustRightInd/>
        <w:snapToGrid/>
        <w:spacing w:line="560" w:lineRule="exact"/>
        <w:ind w:firstLine="602" w:firstLineChars="200"/>
        <w:jc w:val="both"/>
        <w:textAlignment w:val="auto"/>
        <w:rPr>
          <w:rFonts w:hint="eastAsia" w:ascii="仿宋_GB2312" w:hAnsi="仿宋_GB2312" w:eastAsia="仿宋_GB2312" w:cs="仿宋_GB2312"/>
          <w:b/>
          <w:bCs/>
          <w:sz w:val="30"/>
          <w:szCs w:val="30"/>
          <w:lang w:val="en-US" w:eastAsia="zh-CN"/>
        </w:rPr>
      </w:pPr>
      <w:r>
        <w:rPr>
          <w:rFonts w:hint="eastAsia" w:ascii="仿宋_GB2312" w:hAnsi="仿宋_GB2312" w:eastAsia="仿宋_GB2312" w:cs="仿宋_GB2312"/>
          <w:b/>
          <w:bCs/>
          <w:sz w:val="30"/>
          <w:szCs w:val="30"/>
          <w:lang w:val="en-US" w:eastAsia="zh-CN"/>
        </w:rPr>
        <w:t>七、其他说明</w:t>
      </w:r>
    </w:p>
    <w:p w14:paraId="19987071">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1.春季学期教学周数一般为18周，其中后三天集中安排考试；秋季学期教学周数一般为19周，设考试1周。各专业应根据人才培养进度、课程的连贯和学时的平衡，统筹确定每学期的学分数，学时安排尽量做到全学程均衡分布。除集中性实践教学环节外，教学计划中每周学时总数原则上应控制在16-26学时。</w:t>
      </w:r>
    </w:p>
    <w:p w14:paraId="3E4ACAEE">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2．除学校统一安排的课程外，采取“N+1”培养模式的专业，最后一年在校内不安排课程教学；非“N+1”培养模式的专业，最后一学期在校内不安排课程教学。</w:t>
      </w:r>
    </w:p>
    <w:p w14:paraId="4B0A1E12">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3.实践课程包含课内实践、集中性实践、创新创业实践和第二课堂活动。课内实践包含实验课，理论课程中的实验、上机等。 集中性实践包含军事训练、实习、实训、课程设计、毕业设计（论文）等。</w:t>
      </w:r>
    </w:p>
    <w:p w14:paraId="2A453F37">
      <w:pPr>
        <w:spacing w:line="360" w:lineRule="auto"/>
        <w:ind w:firstLine="420" w:firstLineChars="200"/>
        <w:jc w:val="left"/>
        <w:rPr>
          <w:rFonts w:hint="default" w:ascii="宋体" w:hAnsi="宋体" w:cs="宋体" w:eastAsiaTheme="minorEastAsia"/>
          <w:lang w:val="en-US" w:eastAsia="zh-CN"/>
        </w:rPr>
      </w:pPr>
    </w:p>
    <w:p w14:paraId="1C1E086D">
      <w:pPr>
        <w:ind w:firstLine="420"/>
        <w:rPr>
          <w:rFonts w:ascii="宋体" w:hAnsi="宋体" w:cs="Times New Roman"/>
        </w:rPr>
      </w:pPr>
      <w:r>
        <w:rPr>
          <w:rFonts w:hint="eastAsia" w:ascii="宋体" w:hAnsi="宋体" w:cs="Times New Roman"/>
        </w:rPr>
        <w:t xml:space="preserve">                                 </w:t>
      </w:r>
    </w:p>
    <w:p w14:paraId="26BCAC99">
      <w:pPr>
        <w:rPr>
          <w:rFonts w:ascii="宋体" w:hAnsi="宋体"/>
        </w:rPr>
      </w:pPr>
    </w:p>
    <w:p w14:paraId="2C87482B">
      <w:pPr>
        <w:spacing w:line="360" w:lineRule="auto"/>
        <w:rPr>
          <w:rFonts w:hint="eastAsia" w:ascii="宋体" w:hAnsi="宋体" w:eastAsia="宋体" w:cs="宋体"/>
          <w:kern w:val="0"/>
          <w:sz w:val="24"/>
          <w:szCs w:val="24"/>
          <w:lang w:val="en-US" w:eastAsia="zh-CN"/>
        </w:rPr>
      </w:pPr>
    </w:p>
    <w:sectPr>
      <w:pgSz w:w="11906" w:h="16838"/>
      <w:pgMar w:top="1417"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5ODEzMzg5ZmUyMDJlYzgxYzA3MTk5NTYwYzA2ODAifQ=="/>
    <w:docVar w:name="KSO_WPS_MARK_KEY" w:val="6e3af4ce-5d1d-4895-ae63-adb97f059a7f"/>
  </w:docVars>
  <w:rsids>
    <w:rsidRoot w:val="2A8A713C"/>
    <w:rsid w:val="00C823C4"/>
    <w:rsid w:val="01A55B1C"/>
    <w:rsid w:val="02400A8B"/>
    <w:rsid w:val="0374238F"/>
    <w:rsid w:val="03D84D25"/>
    <w:rsid w:val="064402C5"/>
    <w:rsid w:val="06693D01"/>
    <w:rsid w:val="06FD3DDF"/>
    <w:rsid w:val="08732C15"/>
    <w:rsid w:val="088D1CB0"/>
    <w:rsid w:val="08E25FED"/>
    <w:rsid w:val="095F3199"/>
    <w:rsid w:val="09BF2734"/>
    <w:rsid w:val="0AD54A83"/>
    <w:rsid w:val="0B5C3E34"/>
    <w:rsid w:val="0BCA66EB"/>
    <w:rsid w:val="0C302E80"/>
    <w:rsid w:val="0D501777"/>
    <w:rsid w:val="0DF0319D"/>
    <w:rsid w:val="0E0802A4"/>
    <w:rsid w:val="0EFD0C11"/>
    <w:rsid w:val="0F4F24D8"/>
    <w:rsid w:val="100833DB"/>
    <w:rsid w:val="11EA4DE7"/>
    <w:rsid w:val="120174E4"/>
    <w:rsid w:val="14D701FE"/>
    <w:rsid w:val="16F245C5"/>
    <w:rsid w:val="17683B61"/>
    <w:rsid w:val="188449CB"/>
    <w:rsid w:val="19F22932"/>
    <w:rsid w:val="1B4072CF"/>
    <w:rsid w:val="1D1A3B4F"/>
    <w:rsid w:val="20360F5B"/>
    <w:rsid w:val="21417858"/>
    <w:rsid w:val="264769AF"/>
    <w:rsid w:val="268E0511"/>
    <w:rsid w:val="26D60AE7"/>
    <w:rsid w:val="2705317A"/>
    <w:rsid w:val="28E079FB"/>
    <w:rsid w:val="299E37DB"/>
    <w:rsid w:val="29C70BBB"/>
    <w:rsid w:val="29E057D9"/>
    <w:rsid w:val="2A336250"/>
    <w:rsid w:val="2A8A713C"/>
    <w:rsid w:val="2A9067BA"/>
    <w:rsid w:val="2B7408CF"/>
    <w:rsid w:val="2B7C75CA"/>
    <w:rsid w:val="2C2B19DA"/>
    <w:rsid w:val="2DCC49F2"/>
    <w:rsid w:val="336809E1"/>
    <w:rsid w:val="34B65AB4"/>
    <w:rsid w:val="34B72A4D"/>
    <w:rsid w:val="35215623"/>
    <w:rsid w:val="35D02BA5"/>
    <w:rsid w:val="36572270"/>
    <w:rsid w:val="374C0404"/>
    <w:rsid w:val="3A0349B2"/>
    <w:rsid w:val="3ABC194A"/>
    <w:rsid w:val="3AC32CD9"/>
    <w:rsid w:val="3B7E5EF0"/>
    <w:rsid w:val="3B835794"/>
    <w:rsid w:val="3D341424"/>
    <w:rsid w:val="3D9D5A63"/>
    <w:rsid w:val="3DA46DF1"/>
    <w:rsid w:val="3EF1527A"/>
    <w:rsid w:val="3F873E13"/>
    <w:rsid w:val="410A340F"/>
    <w:rsid w:val="41B968C8"/>
    <w:rsid w:val="41BE244C"/>
    <w:rsid w:val="423A5F76"/>
    <w:rsid w:val="42A96C58"/>
    <w:rsid w:val="43D146B8"/>
    <w:rsid w:val="440950CF"/>
    <w:rsid w:val="46BD0F24"/>
    <w:rsid w:val="47EC2E46"/>
    <w:rsid w:val="47EC7D13"/>
    <w:rsid w:val="484A2C8B"/>
    <w:rsid w:val="4B2C0426"/>
    <w:rsid w:val="4CA1238B"/>
    <w:rsid w:val="4DAD3AA0"/>
    <w:rsid w:val="4EAD2DC3"/>
    <w:rsid w:val="4ED41501"/>
    <w:rsid w:val="50412F69"/>
    <w:rsid w:val="50844AAE"/>
    <w:rsid w:val="517555E9"/>
    <w:rsid w:val="528609C0"/>
    <w:rsid w:val="52C8312A"/>
    <w:rsid w:val="52EB0BC7"/>
    <w:rsid w:val="54B346CA"/>
    <w:rsid w:val="54E56A80"/>
    <w:rsid w:val="55B31E70"/>
    <w:rsid w:val="55F85AD5"/>
    <w:rsid w:val="57AF6667"/>
    <w:rsid w:val="58B2640F"/>
    <w:rsid w:val="58CE1BCE"/>
    <w:rsid w:val="5A455061"/>
    <w:rsid w:val="5B12258F"/>
    <w:rsid w:val="5B184523"/>
    <w:rsid w:val="5D303DA6"/>
    <w:rsid w:val="5E0D7737"/>
    <w:rsid w:val="5E1810CC"/>
    <w:rsid w:val="5F392432"/>
    <w:rsid w:val="5F9373A8"/>
    <w:rsid w:val="5FA7072F"/>
    <w:rsid w:val="6050729C"/>
    <w:rsid w:val="60DC2CC3"/>
    <w:rsid w:val="616D55C9"/>
    <w:rsid w:val="61E424EB"/>
    <w:rsid w:val="61FA760E"/>
    <w:rsid w:val="63260125"/>
    <w:rsid w:val="65C40D88"/>
    <w:rsid w:val="65CC4888"/>
    <w:rsid w:val="6695111E"/>
    <w:rsid w:val="67E2654F"/>
    <w:rsid w:val="69801C11"/>
    <w:rsid w:val="6AD317C2"/>
    <w:rsid w:val="6AFA730F"/>
    <w:rsid w:val="6BCF0C2E"/>
    <w:rsid w:val="6CBD4F2A"/>
    <w:rsid w:val="6D3377BA"/>
    <w:rsid w:val="6DC02F24"/>
    <w:rsid w:val="6E564A4F"/>
    <w:rsid w:val="712D08D1"/>
    <w:rsid w:val="71E76CD1"/>
    <w:rsid w:val="73342A8E"/>
    <w:rsid w:val="73D56A03"/>
    <w:rsid w:val="76312C11"/>
    <w:rsid w:val="78397B5B"/>
    <w:rsid w:val="78A13EEA"/>
    <w:rsid w:val="79AE22A9"/>
    <w:rsid w:val="79F53F55"/>
    <w:rsid w:val="7AE528A2"/>
    <w:rsid w:val="7B2745E3"/>
    <w:rsid w:val="7B9401A1"/>
    <w:rsid w:val="7C4C3713"/>
    <w:rsid w:val="7C5F7C6E"/>
    <w:rsid w:val="7CF90201"/>
    <w:rsid w:val="7D0C7F34"/>
    <w:rsid w:val="7DAC5273"/>
    <w:rsid w:val="7E9B156F"/>
    <w:rsid w:val="7F277B86"/>
    <w:rsid w:val="7FEE5E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qFormat/>
    <w:uiPriority w:val="0"/>
    <w:pPr>
      <w:keepNext/>
      <w:keepLines/>
      <w:spacing w:before="260" w:after="260" w:line="176" w:lineRule="auto"/>
      <w:outlineLvl w:val="1"/>
    </w:pPr>
    <w:rPr>
      <w:rFonts w:ascii="Arial" w:hAnsi="Arial" w:eastAsia="黑体"/>
      <w:b/>
      <w:bCs/>
      <w:color w:val="000000"/>
      <w:sz w:val="24"/>
      <w:szCs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toa heading"/>
    <w:basedOn w:val="1"/>
    <w:next w:val="1"/>
    <w:unhideWhenUsed/>
    <w:qFormat/>
    <w:uiPriority w:val="99"/>
    <w:pPr>
      <w:spacing w:before="120" w:line="264" w:lineRule="auto"/>
      <w:ind w:firstLine="1572"/>
    </w:pPr>
    <w:rPr>
      <w:rFonts w:ascii="Arial" w:hAnsi="Arial"/>
    </w:rPr>
  </w:style>
  <w:style w:type="paragraph" w:styleId="5">
    <w:name w:val="footer"/>
    <w:basedOn w:val="1"/>
    <w:unhideWhenUsed/>
    <w:qFormat/>
    <w:uiPriority w:val="99"/>
    <w:pPr>
      <w:tabs>
        <w:tab w:val="center" w:pos="4153"/>
        <w:tab w:val="right" w:pos="8306"/>
      </w:tabs>
      <w:snapToGrid w:val="0"/>
      <w:spacing w:line="240" w:lineRule="atLeast"/>
      <w:jc w:val="left"/>
    </w:pPr>
    <w:rPr>
      <w:sz w:val="18"/>
      <w:szCs w:val="18"/>
    </w:rPr>
  </w:style>
  <w:style w:type="paragraph" w:styleId="6">
    <w:name w:val="header"/>
    <w:basedOn w:val="1"/>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rPr>
  </w:style>
  <w:style w:type="character" w:styleId="12">
    <w:name w:val="FollowedHyperlink"/>
    <w:basedOn w:val="10"/>
    <w:qFormat/>
    <w:uiPriority w:val="0"/>
    <w:rPr>
      <w:color w:val="2490F8"/>
      <w:u w:val="none"/>
    </w:rPr>
  </w:style>
  <w:style w:type="character" w:styleId="13">
    <w:name w:val="Emphasis"/>
    <w:basedOn w:val="10"/>
    <w:qFormat/>
    <w:uiPriority w:val="0"/>
  </w:style>
  <w:style w:type="character" w:styleId="14">
    <w:name w:val="HTML Definition"/>
    <w:basedOn w:val="10"/>
    <w:qFormat/>
    <w:uiPriority w:val="0"/>
  </w:style>
  <w:style w:type="character" w:styleId="15">
    <w:name w:val="HTML Variable"/>
    <w:basedOn w:val="10"/>
    <w:qFormat/>
    <w:uiPriority w:val="0"/>
  </w:style>
  <w:style w:type="character" w:styleId="16">
    <w:name w:val="Hyperlink"/>
    <w:basedOn w:val="10"/>
    <w:qFormat/>
    <w:uiPriority w:val="0"/>
    <w:rPr>
      <w:color w:val="2490F8"/>
      <w:u w:val="none"/>
    </w:rPr>
  </w:style>
  <w:style w:type="character" w:styleId="17">
    <w:name w:val="HTML Code"/>
    <w:basedOn w:val="10"/>
    <w:qFormat/>
    <w:uiPriority w:val="0"/>
    <w:rPr>
      <w:rFonts w:ascii="微软雅黑" w:hAnsi="微软雅黑" w:eastAsia="微软雅黑" w:cs="微软雅黑"/>
      <w:sz w:val="18"/>
      <w:szCs w:val="18"/>
    </w:rPr>
  </w:style>
  <w:style w:type="character" w:styleId="18">
    <w:name w:val="HTML Cite"/>
    <w:basedOn w:val="10"/>
    <w:qFormat/>
    <w:uiPriority w:val="0"/>
  </w:style>
  <w:style w:type="character" w:customStyle="1" w:styleId="19">
    <w:name w:val="cy"/>
    <w:basedOn w:val="10"/>
    <w:qFormat/>
    <w:uiPriority w:val="0"/>
  </w:style>
  <w:style w:type="character" w:customStyle="1" w:styleId="20">
    <w:name w:val="pagechatarealistclose_box"/>
    <w:basedOn w:val="10"/>
    <w:qFormat/>
    <w:uiPriority w:val="0"/>
  </w:style>
  <w:style w:type="character" w:customStyle="1" w:styleId="21">
    <w:name w:val="pagechatarealistclose_box1"/>
    <w:basedOn w:val="10"/>
    <w:qFormat/>
    <w:uiPriority w:val="0"/>
  </w:style>
  <w:style w:type="character" w:customStyle="1" w:styleId="22">
    <w:name w:val="ico16"/>
    <w:basedOn w:val="10"/>
    <w:qFormat/>
    <w:uiPriority w:val="0"/>
  </w:style>
  <w:style w:type="character" w:customStyle="1" w:styleId="23">
    <w:name w:val="ico161"/>
    <w:basedOn w:val="10"/>
    <w:qFormat/>
    <w:uiPriority w:val="0"/>
  </w:style>
  <w:style w:type="character" w:customStyle="1" w:styleId="24">
    <w:name w:val="cdropright"/>
    <w:basedOn w:val="10"/>
    <w:qFormat/>
    <w:uiPriority w:val="0"/>
  </w:style>
  <w:style w:type="character" w:customStyle="1" w:styleId="25">
    <w:name w:val="choosename"/>
    <w:basedOn w:val="10"/>
    <w:qFormat/>
    <w:uiPriority w:val="0"/>
  </w:style>
  <w:style w:type="character" w:customStyle="1" w:styleId="26">
    <w:name w:val="first-child"/>
    <w:basedOn w:val="10"/>
    <w:qFormat/>
    <w:uiPriority w:val="0"/>
  </w:style>
  <w:style w:type="character" w:customStyle="1" w:styleId="27">
    <w:name w:val="hilite"/>
    <w:basedOn w:val="10"/>
    <w:qFormat/>
    <w:uiPriority w:val="0"/>
    <w:rPr>
      <w:color w:val="FFFFFF"/>
      <w:shd w:val="clear" w:fill="666666"/>
    </w:rPr>
  </w:style>
  <w:style w:type="character" w:customStyle="1" w:styleId="28">
    <w:name w:val="after"/>
    <w:basedOn w:val="10"/>
    <w:qFormat/>
    <w:uiPriority w:val="0"/>
    <w:rPr>
      <w:sz w:val="0"/>
      <w:szCs w:val="0"/>
    </w:rPr>
  </w:style>
  <w:style w:type="character" w:customStyle="1" w:styleId="29">
    <w:name w:val="layui-layer-tabnow"/>
    <w:basedOn w:val="10"/>
    <w:qFormat/>
    <w:uiPriority w:val="0"/>
    <w:rPr>
      <w:bdr w:val="single" w:color="CCCCCC" w:sz="6" w:space="0"/>
      <w:shd w:val="clear" w:fill="FFFFFF"/>
    </w:rPr>
  </w:style>
  <w:style w:type="character" w:customStyle="1" w:styleId="30">
    <w:name w:val="tmpztreemove_arrow"/>
    <w:basedOn w:val="10"/>
    <w:qFormat/>
    <w:uiPriority w:val="0"/>
  </w:style>
  <w:style w:type="character" w:customStyle="1" w:styleId="31">
    <w:name w:val="icontext1"/>
    <w:basedOn w:val="10"/>
    <w:qFormat/>
    <w:uiPriority w:val="0"/>
  </w:style>
  <w:style w:type="character" w:customStyle="1" w:styleId="32">
    <w:name w:val="icontext11"/>
    <w:basedOn w:val="10"/>
    <w:qFormat/>
    <w:uiPriority w:val="0"/>
  </w:style>
  <w:style w:type="character" w:customStyle="1" w:styleId="33">
    <w:name w:val="icontext12"/>
    <w:basedOn w:val="10"/>
    <w:qFormat/>
    <w:uiPriority w:val="0"/>
  </w:style>
  <w:style w:type="character" w:customStyle="1" w:styleId="34">
    <w:name w:val="w32"/>
    <w:basedOn w:val="10"/>
    <w:qFormat/>
    <w:uiPriority w:val="0"/>
  </w:style>
  <w:style w:type="character" w:customStyle="1" w:styleId="35">
    <w:name w:val="associateddata"/>
    <w:basedOn w:val="10"/>
    <w:qFormat/>
    <w:uiPriority w:val="0"/>
    <w:rPr>
      <w:shd w:val="clear" w:fill="50A6F9"/>
    </w:rPr>
  </w:style>
  <w:style w:type="character" w:customStyle="1" w:styleId="36">
    <w:name w:val="iconline2"/>
    <w:basedOn w:val="10"/>
    <w:qFormat/>
    <w:uiPriority w:val="0"/>
  </w:style>
  <w:style w:type="character" w:customStyle="1" w:styleId="37">
    <w:name w:val="iconline21"/>
    <w:basedOn w:val="10"/>
    <w:qFormat/>
    <w:uiPriority w:val="0"/>
  </w:style>
  <w:style w:type="character" w:customStyle="1" w:styleId="38">
    <w:name w:val="button"/>
    <w:basedOn w:val="10"/>
    <w:qFormat/>
    <w:uiPriority w:val="0"/>
  </w:style>
  <w:style w:type="character" w:customStyle="1" w:styleId="39">
    <w:name w:val="drapbtn"/>
    <w:basedOn w:val="10"/>
    <w:qFormat/>
    <w:uiPriority w:val="0"/>
  </w:style>
  <w:style w:type="character" w:customStyle="1" w:styleId="40">
    <w:name w:val="cdropleft"/>
    <w:basedOn w:val="10"/>
    <w:qFormat/>
    <w:uiPriority w:val="0"/>
  </w:style>
  <w:style w:type="character" w:customStyle="1" w:styleId="41">
    <w:name w:val="icontext2"/>
    <w:basedOn w:val="10"/>
    <w:qFormat/>
    <w:uiPriority w:val="0"/>
  </w:style>
  <w:style w:type="character" w:customStyle="1" w:styleId="42">
    <w:name w:val="icontext3"/>
    <w:basedOn w:val="10"/>
    <w:qFormat/>
    <w:uiPriority w:val="0"/>
  </w:style>
  <w:style w:type="character" w:customStyle="1" w:styleId="43">
    <w:name w:val="active5"/>
    <w:basedOn w:val="10"/>
    <w:qFormat/>
    <w:uiPriority w:val="0"/>
    <w:rPr>
      <w:color w:val="00FF00"/>
      <w:shd w:val="clear" w:fill="111111"/>
    </w:rPr>
  </w:style>
  <w:style w:type="character" w:customStyle="1" w:styleId="44">
    <w:name w:val="active6"/>
    <w:basedOn w:val="10"/>
    <w:qFormat/>
    <w:uiPriority w:val="0"/>
    <w:rPr>
      <w:shd w:val="clear" w:fill="EC3535"/>
    </w:rPr>
  </w:style>
  <w:style w:type="character" w:customStyle="1" w:styleId="45">
    <w:name w:val="index_logo4"/>
    <w:basedOn w:val="10"/>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3815</Words>
  <Characters>4178</Characters>
  <Lines>0</Lines>
  <Paragraphs>0</Paragraphs>
  <TotalTime>3</TotalTime>
  <ScaleCrop>false</ScaleCrop>
  <LinksUpToDate>false</LinksUpToDate>
  <CharactersWithSpaces>4254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2024-05-14T00:55:00Z</dcterms:created>
  <dc:creator>lyl</dc:creator>
  <cp:lastModifiedBy>lyl</cp:lastModifiedBy>
  <cp:lastPrinted>2024-05-29T06:51:00Z</cp:lastPrinted>
  <dcterms:modified xsi:type="dcterms:W3CDTF">2025-05-30T02:27:51Z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64EAD6E5236641609BC7F9D91C0096D6_13</vt:lpwstr>
  </property>
  <property fmtid="{D5CDD505-2E9C-101B-9397-08002B2CF9AE}" pid="4" name="KSOTemplateDocerSaveRecord">
    <vt:lpwstr>eyJoZGlkIjoiMzc5ODEzMzg5ZmUyMDJlYzgxYzA3MTk5NTYwYzA2ODAiLCJ1c2VySWQiOiIyODk0MDA3NjgifQ==</vt:lpwstr>
  </property>
</Properties>
</file>