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宋体"/>
          <w:color w:val="0000FF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FF"/>
          <w:kern w:val="0"/>
          <w:sz w:val="32"/>
          <w:szCs w:val="32"/>
        </w:rPr>
        <w:t>二级学院专业建设指导委员会论证意见</w:t>
      </w:r>
    </w:p>
    <w:p>
      <w:pPr>
        <w:widowControl/>
        <w:spacing w:line="56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专业名称：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color w:val="000000"/>
          <w:kern w:val="0"/>
          <w:sz w:val="24"/>
        </w:rPr>
        <w:t>论证时间：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</w:p>
    <w:tbl>
      <w:tblPr>
        <w:tblStyle w:val="2"/>
        <w:tblW w:w="9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888"/>
        <w:gridCol w:w="2469"/>
        <w:gridCol w:w="1888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988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专业建设指导委员会成员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职称/职务</w:t>
            </w: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88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6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988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论证意见</w:t>
            </w:r>
          </w:p>
        </w:tc>
        <w:tc>
          <w:tcPr>
            <w:tcW w:w="8185" w:type="dxa"/>
            <w:gridSpan w:val="4"/>
          </w:tcPr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论证意见应对专业人才培养目标定位、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毕业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要求、理论设置、实践教学环安排、专业方向设置等方面作出评价。评价内容主要应包含以下几个方面：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1.培养目标：定位是否准确？目标是否明确？表达是否确切？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毕业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要求：是否体现了应用型特征？主要职业岗位关键能力和能力要素提炼是否精准？能否得到有效支撑？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3.专业方向：专业方向设置是否合理？能否体现服务地方经济社会发展需求的办学定位？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4.课程体系：课程体系设计能否体现培养目标？专业核心课程的确定是否准确？特色课程是否彰显了校企合作特色？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5.实践教学：实践教学是否成体系？是否体现了社会责任、创新创业能力等综合能力和素质的培养要求？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6.教学进程：进程安排是否合理？周学时安排是否均衡？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7.制定过程：是否广泛征求了意见和建议？是否体现了科学合理的设计？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ind w:firstLine="2400" w:firstLineChars="100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专业建设指导委员会主任签字：</w:t>
            </w:r>
          </w:p>
          <w:p>
            <w:pPr>
              <w:widowControl/>
              <w:spacing w:line="500" w:lineRule="exact"/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ind w:firstLine="6120" w:firstLineChars="25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118F3F2C"/>
    <w:rsid w:val="118F3F2C"/>
    <w:rsid w:val="2200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409</Characters>
  <Lines>0</Lines>
  <Paragraphs>0</Paragraphs>
  <TotalTime>2</TotalTime>
  <ScaleCrop>false</ScaleCrop>
  <LinksUpToDate>false</LinksUpToDate>
  <CharactersWithSpaces>464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2024-05-27T09:01:00Z</dcterms:created>
  <dc:creator>lyl</dc:creator>
  <cp:lastModifiedBy>lyl</cp:lastModifiedBy>
  <cp:lastPrinted>2024-06-11T06:17:55Z</cp:lastPrinted>
  <dcterms:modified xsi:type="dcterms:W3CDTF">2024-06-11T06:53:07Z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F045347F56D24C41B4BD916CB430CA2F_11</vt:lpwstr>
  </property>
</Properties>
</file>